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2230" w:rsidRPr="000907C5" w:rsidRDefault="00AB2230" w:rsidP="00281B0A">
      <w:pPr>
        <w:spacing w:line="240" w:lineRule="auto"/>
        <w:jc w:val="center"/>
        <w:rPr>
          <w:rFonts w:ascii="Arial" w:hAnsi="Arial" w:cs="Arial"/>
          <w:b/>
          <w:bCs/>
          <w:sz w:val="28"/>
          <w:szCs w:val="28"/>
        </w:rPr>
      </w:pPr>
      <w:r w:rsidRPr="000907C5">
        <w:rPr>
          <w:rFonts w:ascii="Arial" w:hAnsi="Arial" w:cs="Arial"/>
          <w:b/>
          <w:bCs/>
          <w:sz w:val="28"/>
          <w:szCs w:val="28"/>
        </w:rPr>
        <w:t>JAIPURIA INSTITUTE OF MANAGEMENT, INDORE</w:t>
      </w:r>
    </w:p>
    <w:p w:rsidR="00AB2230" w:rsidRPr="00C11FF5" w:rsidRDefault="00AB2230" w:rsidP="00281B0A">
      <w:pPr>
        <w:spacing w:line="240" w:lineRule="auto"/>
        <w:jc w:val="center"/>
        <w:rPr>
          <w:rFonts w:ascii="Arial" w:hAnsi="Arial" w:cs="Arial"/>
          <w:b/>
          <w:bCs/>
        </w:rPr>
      </w:pPr>
      <w:r w:rsidRPr="00C11FF5">
        <w:rPr>
          <w:rFonts w:ascii="Arial" w:hAnsi="Arial" w:cs="Arial"/>
          <w:b/>
          <w:bCs/>
        </w:rPr>
        <w:t xml:space="preserve">PGDM </w:t>
      </w:r>
    </w:p>
    <w:p w:rsidR="00AB2230" w:rsidRPr="00C11FF5" w:rsidRDefault="000366BC" w:rsidP="00281B0A">
      <w:pPr>
        <w:spacing w:line="240" w:lineRule="auto"/>
        <w:jc w:val="center"/>
        <w:rPr>
          <w:rFonts w:ascii="Arial" w:hAnsi="Arial" w:cs="Arial"/>
          <w:b/>
          <w:bCs/>
        </w:rPr>
      </w:pPr>
      <w:r>
        <w:rPr>
          <w:rFonts w:ascii="Arial" w:hAnsi="Arial" w:cs="Arial"/>
          <w:b/>
          <w:bCs/>
        </w:rPr>
        <w:t xml:space="preserve">SIXTH </w:t>
      </w:r>
      <w:r w:rsidR="00AB2230" w:rsidRPr="00C11FF5">
        <w:rPr>
          <w:rFonts w:ascii="Arial" w:hAnsi="Arial" w:cs="Arial"/>
          <w:b/>
          <w:bCs/>
        </w:rPr>
        <w:t>TRIMESTER (Batch 201</w:t>
      </w:r>
      <w:r w:rsidR="005E7A1A">
        <w:rPr>
          <w:rFonts w:ascii="Arial" w:hAnsi="Arial" w:cs="Arial"/>
          <w:b/>
          <w:bCs/>
        </w:rPr>
        <w:t>9</w:t>
      </w:r>
      <w:r w:rsidR="00AB2230" w:rsidRPr="00C11FF5">
        <w:rPr>
          <w:rFonts w:ascii="Arial" w:hAnsi="Arial" w:cs="Arial"/>
          <w:b/>
          <w:bCs/>
        </w:rPr>
        <w:t>-</w:t>
      </w:r>
      <w:r w:rsidR="005E7A1A">
        <w:rPr>
          <w:rFonts w:ascii="Arial" w:hAnsi="Arial" w:cs="Arial"/>
          <w:b/>
          <w:bCs/>
        </w:rPr>
        <w:t>21</w:t>
      </w:r>
      <w:r w:rsidR="00AB2230" w:rsidRPr="00C11FF5">
        <w:rPr>
          <w:rFonts w:ascii="Arial" w:hAnsi="Arial" w:cs="Arial"/>
          <w:b/>
          <w:bCs/>
        </w:rPr>
        <w:t>)</w:t>
      </w:r>
    </w:p>
    <w:p w:rsidR="00AB2230" w:rsidRDefault="00C10A79" w:rsidP="00281B0A">
      <w:pPr>
        <w:spacing w:line="240" w:lineRule="auto"/>
        <w:jc w:val="center"/>
        <w:rPr>
          <w:rFonts w:ascii="Arial" w:hAnsi="Arial" w:cs="Arial"/>
          <w:b/>
          <w:bCs/>
        </w:rPr>
      </w:pPr>
      <w:r>
        <w:rPr>
          <w:rFonts w:ascii="Arial" w:hAnsi="Arial" w:cs="Arial"/>
          <w:b/>
          <w:bCs/>
        </w:rPr>
        <w:t>END</w:t>
      </w:r>
      <w:r w:rsidR="00AB2230" w:rsidRPr="00C11FF5">
        <w:rPr>
          <w:rFonts w:ascii="Arial" w:hAnsi="Arial" w:cs="Arial"/>
          <w:b/>
          <w:bCs/>
        </w:rPr>
        <w:t xml:space="preserve"> TERM EXAM</w:t>
      </w:r>
      <w:r w:rsidR="00AB2230">
        <w:rPr>
          <w:rFonts w:ascii="Arial" w:hAnsi="Arial" w:cs="Arial"/>
          <w:b/>
          <w:bCs/>
        </w:rPr>
        <w:t>INATION</w:t>
      </w:r>
      <w:r w:rsidR="00AB2230" w:rsidRPr="00C11FF5">
        <w:rPr>
          <w:rFonts w:ascii="Arial" w:hAnsi="Arial" w:cs="Arial"/>
          <w:b/>
          <w:bCs/>
        </w:rPr>
        <w:t xml:space="preserve">, </w:t>
      </w:r>
      <w:r w:rsidR="000366BC">
        <w:rPr>
          <w:rFonts w:ascii="Arial" w:hAnsi="Arial" w:cs="Arial"/>
          <w:b/>
          <w:bCs/>
        </w:rPr>
        <w:t>MAY</w:t>
      </w:r>
      <w:r w:rsidR="00495AD9">
        <w:rPr>
          <w:rFonts w:ascii="Arial" w:hAnsi="Arial" w:cs="Arial"/>
          <w:b/>
          <w:bCs/>
        </w:rPr>
        <w:t>-2021</w:t>
      </w:r>
    </w:p>
    <w:p w:rsidR="005E1FE9" w:rsidRDefault="005E1FE9" w:rsidP="00281B0A">
      <w:pPr>
        <w:spacing w:line="240" w:lineRule="auto"/>
        <w:jc w:val="center"/>
        <w:rPr>
          <w:rFonts w:ascii="Arial" w:hAnsi="Arial" w:cs="Arial"/>
          <w:b/>
          <w:bCs/>
        </w:rPr>
      </w:pPr>
    </w:p>
    <w:tbl>
      <w:tblPr>
        <w:tblStyle w:val="TableGrid"/>
        <w:tblW w:w="9445" w:type="dxa"/>
        <w:tblLook w:val="04A0" w:firstRow="1" w:lastRow="0" w:firstColumn="1" w:lastColumn="0" w:noHBand="0" w:noVBand="1"/>
      </w:tblPr>
      <w:tblGrid>
        <w:gridCol w:w="1838"/>
        <w:gridCol w:w="4187"/>
        <w:gridCol w:w="1710"/>
        <w:gridCol w:w="1710"/>
      </w:tblGrid>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sidRPr="00C11FF5">
              <w:rPr>
                <w:rFonts w:ascii="Arial" w:hAnsi="Arial" w:cs="Arial"/>
                <w:bCs/>
              </w:rPr>
              <w:t>Course Name</w:t>
            </w:r>
          </w:p>
        </w:tc>
        <w:tc>
          <w:tcPr>
            <w:tcW w:w="4187" w:type="dxa"/>
            <w:vAlign w:val="center"/>
          </w:tcPr>
          <w:p w:rsidR="005E1FE9" w:rsidRPr="001811E2" w:rsidRDefault="00067156" w:rsidP="008A0B7E">
            <w:pPr>
              <w:jc w:val="center"/>
              <w:rPr>
                <w:rFonts w:ascii="Arial" w:hAnsi="Arial" w:cs="Arial"/>
                <w:b/>
                <w:bCs/>
              </w:rPr>
            </w:pPr>
            <w:r>
              <w:rPr>
                <w:rFonts w:ascii="Arial" w:hAnsi="Arial" w:cs="Arial"/>
                <w:b/>
                <w:bCs/>
              </w:rPr>
              <w:t>Investment Banking</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Course Code</w:t>
            </w:r>
          </w:p>
        </w:tc>
        <w:tc>
          <w:tcPr>
            <w:tcW w:w="1710" w:type="dxa"/>
            <w:vAlign w:val="center"/>
          </w:tcPr>
          <w:p w:rsidR="005E1FE9" w:rsidRPr="00D96AEE" w:rsidRDefault="005A300A" w:rsidP="008A0B7E">
            <w:pPr>
              <w:jc w:val="center"/>
              <w:rPr>
                <w:rFonts w:ascii="Arial" w:hAnsi="Arial" w:cs="Arial"/>
                <w:b/>
                <w:bCs/>
              </w:rPr>
            </w:pPr>
            <w:bookmarkStart w:id="0" w:name="_GoBack"/>
            <w:r w:rsidRPr="00D96AEE">
              <w:rPr>
                <w:rFonts w:ascii="Times New Roman" w:hAnsi="Times New Roman" w:cs="Times New Roman"/>
                <w:b/>
                <w:bCs/>
                <w:spacing w:val="3"/>
              </w:rPr>
              <w:t>FIN601</w:t>
            </w:r>
            <w:bookmarkEnd w:id="0"/>
          </w:p>
        </w:tc>
      </w:tr>
      <w:tr w:rsidR="005E1FE9" w:rsidRPr="00C11FF5" w:rsidTr="008A0B7E">
        <w:trPr>
          <w:trHeight w:val="440"/>
        </w:trPr>
        <w:tc>
          <w:tcPr>
            <w:tcW w:w="1838" w:type="dxa"/>
            <w:vAlign w:val="center"/>
          </w:tcPr>
          <w:p w:rsidR="005E1FE9" w:rsidRPr="00C11FF5" w:rsidRDefault="005E1FE9" w:rsidP="008A0B7E">
            <w:pPr>
              <w:rPr>
                <w:rFonts w:ascii="Arial" w:hAnsi="Arial" w:cs="Arial"/>
                <w:bCs/>
              </w:rPr>
            </w:pPr>
            <w:r>
              <w:rPr>
                <w:rFonts w:ascii="Arial" w:hAnsi="Arial" w:cs="Arial"/>
                <w:bCs/>
              </w:rPr>
              <w:t xml:space="preserve">Max. </w:t>
            </w:r>
            <w:r w:rsidRPr="00C11FF5">
              <w:rPr>
                <w:rFonts w:ascii="Arial" w:hAnsi="Arial" w:cs="Arial"/>
                <w:bCs/>
              </w:rPr>
              <w:t>Time</w:t>
            </w:r>
          </w:p>
        </w:tc>
        <w:tc>
          <w:tcPr>
            <w:tcW w:w="4187" w:type="dxa"/>
            <w:vAlign w:val="center"/>
          </w:tcPr>
          <w:p w:rsidR="005E1FE9" w:rsidRPr="00C11FF5" w:rsidRDefault="00C10A79" w:rsidP="008A0B7E">
            <w:pPr>
              <w:jc w:val="center"/>
              <w:rPr>
                <w:rFonts w:ascii="Arial" w:hAnsi="Arial" w:cs="Arial"/>
                <w:b/>
                <w:bCs/>
              </w:rPr>
            </w:pPr>
            <w:r>
              <w:rPr>
                <w:rFonts w:ascii="Arial" w:hAnsi="Arial" w:cs="Arial"/>
                <w:b/>
                <w:bCs/>
              </w:rPr>
              <w:t>2</w:t>
            </w:r>
            <w:r w:rsidR="005E1FE9">
              <w:rPr>
                <w:rFonts w:ascii="Arial" w:hAnsi="Arial" w:cs="Arial"/>
                <w:b/>
                <w:bCs/>
              </w:rPr>
              <w:t xml:space="preserve"> hour</w:t>
            </w:r>
            <w:r>
              <w:rPr>
                <w:rFonts w:ascii="Arial" w:hAnsi="Arial" w:cs="Arial"/>
                <w:b/>
                <w:bCs/>
              </w:rPr>
              <w:t>s</w:t>
            </w:r>
          </w:p>
        </w:tc>
        <w:tc>
          <w:tcPr>
            <w:tcW w:w="1710" w:type="dxa"/>
            <w:vAlign w:val="center"/>
          </w:tcPr>
          <w:p w:rsidR="005E1FE9" w:rsidRPr="00C11FF5" w:rsidRDefault="005E1FE9" w:rsidP="008A0B7E">
            <w:pPr>
              <w:rPr>
                <w:rFonts w:ascii="Arial" w:hAnsi="Arial" w:cs="Arial"/>
                <w:bCs/>
              </w:rPr>
            </w:pPr>
            <w:r w:rsidRPr="00C11FF5">
              <w:rPr>
                <w:rFonts w:ascii="Arial" w:hAnsi="Arial" w:cs="Arial"/>
                <w:bCs/>
              </w:rPr>
              <w:t>Max. Marks</w:t>
            </w:r>
          </w:p>
        </w:tc>
        <w:tc>
          <w:tcPr>
            <w:tcW w:w="1710" w:type="dxa"/>
            <w:vAlign w:val="center"/>
          </w:tcPr>
          <w:p w:rsidR="005E1FE9" w:rsidRPr="00C11FF5" w:rsidRDefault="00C10A79" w:rsidP="008A0B7E">
            <w:pPr>
              <w:jc w:val="center"/>
              <w:rPr>
                <w:rFonts w:ascii="Arial" w:hAnsi="Arial" w:cs="Arial"/>
                <w:b/>
                <w:bCs/>
              </w:rPr>
            </w:pPr>
            <w:r>
              <w:rPr>
                <w:rFonts w:ascii="Arial" w:hAnsi="Arial" w:cs="Arial"/>
                <w:b/>
                <w:bCs/>
              </w:rPr>
              <w:t>4</w:t>
            </w:r>
            <w:r w:rsidR="002A197C">
              <w:rPr>
                <w:rFonts w:ascii="Arial" w:hAnsi="Arial" w:cs="Arial"/>
                <w:b/>
                <w:bCs/>
              </w:rPr>
              <w:t>0</w:t>
            </w:r>
          </w:p>
        </w:tc>
      </w:tr>
    </w:tbl>
    <w:p w:rsidR="005E1FE9" w:rsidRPr="003D7283" w:rsidRDefault="005E1FE9" w:rsidP="005E1FE9">
      <w:pPr>
        <w:spacing w:before="240"/>
        <w:rPr>
          <w:rFonts w:cstheme="minorHAnsi"/>
          <w:b/>
        </w:rPr>
      </w:pPr>
      <w:r w:rsidRPr="003D7283">
        <w:rPr>
          <w:rFonts w:cstheme="minorHAnsi"/>
          <w:b/>
          <w:bCs/>
        </w:rPr>
        <w:t>INSTRUCTIONS:</w:t>
      </w:r>
      <w:r w:rsidRPr="003D7283">
        <w:rPr>
          <w:rFonts w:cstheme="minorHAnsi"/>
          <w:b/>
        </w:rPr>
        <w:t xml:space="preserve"> </w:t>
      </w:r>
    </w:p>
    <w:p w:rsidR="005E1FE9" w:rsidRPr="003D7283" w:rsidRDefault="000544F9" w:rsidP="000544F9">
      <w:pPr>
        <w:jc w:val="both"/>
        <w:rPr>
          <w:rFonts w:cstheme="minorHAnsi"/>
        </w:rPr>
      </w:pPr>
      <w:r w:rsidRPr="003D7283">
        <w:rPr>
          <w:rFonts w:cstheme="minorHAnsi"/>
        </w:rPr>
        <w:t>Attempt all the questions</w:t>
      </w:r>
    </w:p>
    <w:p w:rsidR="005E1FE9" w:rsidRPr="003D7283" w:rsidRDefault="005E1FE9" w:rsidP="005E1FE9">
      <w:pPr>
        <w:jc w:val="both"/>
        <w:rPr>
          <w:rFonts w:cstheme="minorHAnsi"/>
          <w:b/>
        </w:rPr>
      </w:pPr>
      <w:r w:rsidRPr="003D7283">
        <w:rPr>
          <w:rFonts w:cstheme="minorHAnsi"/>
          <w:b/>
          <w:u w:val="single"/>
        </w:rPr>
        <w:t>Questions.1</w:t>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000544F9" w:rsidRPr="003D7283">
        <w:rPr>
          <w:rFonts w:cstheme="minorHAnsi"/>
          <w:b/>
        </w:rPr>
        <w:tab/>
      </w:r>
      <w:r w:rsidR="003D7283">
        <w:rPr>
          <w:rFonts w:cstheme="minorHAnsi"/>
          <w:b/>
        </w:rPr>
        <w:tab/>
      </w:r>
      <w:r w:rsidR="000544F9" w:rsidRPr="003D7283">
        <w:rPr>
          <w:rFonts w:cstheme="minorHAnsi"/>
          <w:b/>
        </w:rPr>
        <w:t xml:space="preserve">(8 </w:t>
      </w:r>
      <w:r w:rsidRPr="003D7283">
        <w:rPr>
          <w:rFonts w:cstheme="minorHAnsi"/>
          <w:b/>
        </w:rPr>
        <w:t>Marks)</w:t>
      </w:r>
    </w:p>
    <w:p w:rsidR="005E1FE9" w:rsidRPr="003D7283" w:rsidRDefault="000544F9" w:rsidP="000544F9">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The primary market consists of the market for new security issuances whereby capital is mobilised by issuers from various investors who subscribe to such new issues of equity and debt securities. Thus, the term primary markets refer to the market for new security issuances of various types. On the other hand, the secondary market consists of providing trading mechanisms for day-to-day purchase and sale of securities and institutional support to create liquidity in existing securities through trade. In other words, it is the market for purchase and sale of existing securities by traders and market makers. The instruments that have been issued in the primary market are traded constantly in the secondary market providing the investors with a ready market, transparent pricing mechanism and liquidity for the securities. In line with this discuss the various segments of capital market in India</w:t>
      </w:r>
    </w:p>
    <w:p w:rsidR="000544F9" w:rsidRPr="003D7283" w:rsidRDefault="000544F9" w:rsidP="000544F9">
      <w:pPr>
        <w:autoSpaceDE w:val="0"/>
        <w:autoSpaceDN w:val="0"/>
        <w:adjustRightInd w:val="0"/>
        <w:spacing w:after="0" w:line="240" w:lineRule="auto"/>
        <w:jc w:val="both"/>
        <w:rPr>
          <w:rFonts w:cstheme="minorHAnsi"/>
        </w:rPr>
      </w:pPr>
    </w:p>
    <w:p w:rsidR="005E1FE9" w:rsidRPr="003D7283" w:rsidRDefault="005E1FE9" w:rsidP="005E1FE9">
      <w:pPr>
        <w:jc w:val="both"/>
        <w:rPr>
          <w:rFonts w:cstheme="minorHAnsi"/>
        </w:rPr>
      </w:pPr>
      <w:r w:rsidRPr="003D7283">
        <w:rPr>
          <w:rFonts w:cstheme="minorHAnsi"/>
          <w:b/>
          <w:u w:val="single"/>
        </w:rPr>
        <w:t>Questions.2</w:t>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Pr="003D7283">
        <w:rPr>
          <w:rFonts w:cstheme="minorHAnsi"/>
          <w:b/>
        </w:rPr>
        <w:tab/>
      </w:r>
      <w:r w:rsidR="003D7283">
        <w:rPr>
          <w:rFonts w:cstheme="minorHAnsi"/>
          <w:b/>
        </w:rPr>
        <w:tab/>
      </w:r>
      <w:r w:rsidRPr="003D7283">
        <w:rPr>
          <w:rFonts w:cstheme="minorHAnsi"/>
          <w:b/>
        </w:rPr>
        <w:t>(</w:t>
      </w:r>
      <w:r w:rsidR="000544F9" w:rsidRPr="003D7283">
        <w:rPr>
          <w:rFonts w:cstheme="minorHAnsi"/>
          <w:b/>
        </w:rPr>
        <w:t xml:space="preserve">8 </w:t>
      </w:r>
      <w:r w:rsidRPr="003D7283">
        <w:rPr>
          <w:rFonts w:cstheme="minorHAnsi"/>
          <w:b/>
        </w:rPr>
        <w:t>Marks)</w:t>
      </w:r>
    </w:p>
    <w:p w:rsidR="000544F9" w:rsidRPr="003D7283" w:rsidRDefault="000544F9" w:rsidP="00083CB8">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Corporate re-organization encompasses changes confined to a particular company or to more than one company in a single transaction. These are done from time to time in response to business environment and changing business dynamics. Corporate reorganizations associated with split-up of an existing company’s balance sheet through asset sale, </w:t>
      </w:r>
      <w:proofErr w:type="spellStart"/>
      <w:r w:rsidRPr="003D7283">
        <w:rPr>
          <w:rFonts w:cstheme="minorHAnsi"/>
          <w:color w:val="231F20"/>
          <w:lang w:val="en-IN"/>
        </w:rPr>
        <w:t>subsidiarization</w:t>
      </w:r>
      <w:proofErr w:type="spellEnd"/>
      <w:r w:rsidRPr="003D7283">
        <w:rPr>
          <w:rFonts w:cstheme="minorHAnsi"/>
          <w:color w:val="231F20"/>
          <w:lang w:val="en-IN"/>
        </w:rPr>
        <w:t xml:space="preserve"> or other methods involving transfer of assets or transfer of equity, popularly known as corporate restructuring. Discuss the different forms of Corporate Re-structuring in brief.</w:t>
      </w:r>
    </w:p>
    <w:p w:rsidR="005E1FE9" w:rsidRPr="003D7283" w:rsidRDefault="005E1FE9" w:rsidP="00083CB8">
      <w:pPr>
        <w:autoSpaceDE w:val="0"/>
        <w:autoSpaceDN w:val="0"/>
        <w:adjustRightInd w:val="0"/>
        <w:spacing w:after="0" w:line="240" w:lineRule="auto"/>
        <w:jc w:val="both"/>
        <w:rPr>
          <w:rFonts w:cstheme="minorHAnsi"/>
          <w:color w:val="231F20"/>
          <w:lang w:val="en-IN"/>
        </w:rPr>
      </w:pPr>
    </w:p>
    <w:p w:rsidR="005E1FE9" w:rsidRPr="003D7283" w:rsidRDefault="005E1FE9" w:rsidP="00083CB8">
      <w:pPr>
        <w:autoSpaceDE w:val="0"/>
        <w:autoSpaceDN w:val="0"/>
        <w:adjustRightInd w:val="0"/>
        <w:spacing w:after="0" w:line="240" w:lineRule="auto"/>
        <w:jc w:val="both"/>
        <w:rPr>
          <w:rFonts w:cstheme="minorHAnsi"/>
          <w:color w:val="231F20"/>
          <w:lang w:val="en-IN"/>
        </w:rPr>
      </w:pPr>
      <w:r w:rsidRPr="003D7283">
        <w:rPr>
          <w:rFonts w:cstheme="minorHAnsi"/>
          <w:b/>
          <w:bCs/>
          <w:color w:val="231F20"/>
          <w:u w:val="single"/>
          <w:lang w:val="en-IN"/>
        </w:rPr>
        <w:t>Questions.3</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003D7283">
        <w:rPr>
          <w:rFonts w:cstheme="minorHAnsi"/>
          <w:color w:val="231F20"/>
          <w:lang w:val="en-IN"/>
        </w:rPr>
        <w:tab/>
      </w:r>
      <w:r w:rsidRPr="003D7283">
        <w:rPr>
          <w:rFonts w:cstheme="minorHAnsi"/>
          <w:b/>
          <w:bCs/>
          <w:color w:val="231F20"/>
          <w:lang w:val="en-IN"/>
        </w:rPr>
        <w:t>(</w:t>
      </w:r>
      <w:r w:rsidR="00083CB8" w:rsidRPr="003D7283">
        <w:rPr>
          <w:rFonts w:cstheme="minorHAnsi"/>
          <w:b/>
          <w:bCs/>
          <w:color w:val="231F20"/>
          <w:lang w:val="en-IN"/>
        </w:rPr>
        <w:t xml:space="preserve">8 </w:t>
      </w:r>
      <w:r w:rsidRPr="003D7283">
        <w:rPr>
          <w:rFonts w:cstheme="minorHAnsi"/>
          <w:b/>
          <w:bCs/>
          <w:color w:val="231F20"/>
          <w:lang w:val="en-IN"/>
        </w:rPr>
        <w:t>Marks)</w:t>
      </w:r>
    </w:p>
    <w:p w:rsidR="00CA5FA8" w:rsidRPr="003D7283" w:rsidRDefault="00CA5FA8" w:rsidP="00083CB8">
      <w:pPr>
        <w:autoSpaceDE w:val="0"/>
        <w:autoSpaceDN w:val="0"/>
        <w:adjustRightInd w:val="0"/>
        <w:spacing w:after="0" w:line="240" w:lineRule="auto"/>
        <w:jc w:val="both"/>
        <w:rPr>
          <w:rFonts w:cstheme="minorHAnsi"/>
          <w:color w:val="231F20"/>
          <w:lang w:val="en-IN"/>
        </w:rPr>
      </w:pPr>
    </w:p>
    <w:p w:rsidR="00453723" w:rsidRPr="003D7283" w:rsidRDefault="0085120D" w:rsidP="00083CB8">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An acquisition can help to increase the market share of your company quickly. Even though competition can be challenging, growth through acquisition can be helpful in gaining a competitive edge in the marketplace. The process helps achieves market synergies. </w:t>
      </w:r>
      <w:r w:rsidR="00083CB8" w:rsidRPr="003D7283">
        <w:rPr>
          <w:rFonts w:cstheme="minorHAnsi"/>
          <w:color w:val="231F20"/>
          <w:lang w:val="en-IN"/>
        </w:rPr>
        <w:t>Discuss the benefits of acquisitions in detail.</w:t>
      </w:r>
    </w:p>
    <w:p w:rsidR="00CA5FA8" w:rsidRPr="003D7283" w:rsidRDefault="00CA5FA8" w:rsidP="00083CB8">
      <w:pPr>
        <w:autoSpaceDE w:val="0"/>
        <w:autoSpaceDN w:val="0"/>
        <w:adjustRightInd w:val="0"/>
        <w:spacing w:after="0" w:line="240" w:lineRule="auto"/>
        <w:jc w:val="both"/>
        <w:rPr>
          <w:rFonts w:cstheme="minorHAnsi"/>
          <w:color w:val="231F20"/>
          <w:lang w:val="en-IN"/>
        </w:rPr>
      </w:pPr>
    </w:p>
    <w:p w:rsidR="005E1FE9" w:rsidRPr="003D7283" w:rsidRDefault="005E1FE9" w:rsidP="00083CB8">
      <w:pPr>
        <w:autoSpaceDE w:val="0"/>
        <w:autoSpaceDN w:val="0"/>
        <w:adjustRightInd w:val="0"/>
        <w:spacing w:after="0" w:line="240" w:lineRule="auto"/>
        <w:jc w:val="both"/>
        <w:rPr>
          <w:rFonts w:cstheme="minorHAnsi"/>
          <w:color w:val="231F20"/>
          <w:lang w:val="en-IN"/>
        </w:rPr>
      </w:pPr>
      <w:r w:rsidRPr="003D7283">
        <w:rPr>
          <w:rFonts w:cstheme="minorHAnsi"/>
          <w:b/>
          <w:bCs/>
          <w:color w:val="231F20"/>
          <w:u w:val="single"/>
          <w:lang w:val="en-IN"/>
        </w:rPr>
        <w:t>Questions.4</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003D7283">
        <w:rPr>
          <w:rFonts w:cstheme="minorHAnsi"/>
          <w:color w:val="231F20"/>
          <w:lang w:val="en-IN"/>
        </w:rPr>
        <w:tab/>
      </w:r>
      <w:r w:rsidRPr="003D7283">
        <w:rPr>
          <w:rFonts w:cstheme="minorHAnsi"/>
          <w:b/>
          <w:bCs/>
          <w:color w:val="231F20"/>
          <w:lang w:val="en-IN"/>
        </w:rPr>
        <w:t>(</w:t>
      </w:r>
      <w:r w:rsidR="00083CB8" w:rsidRPr="003D7283">
        <w:rPr>
          <w:rFonts w:cstheme="minorHAnsi"/>
          <w:b/>
          <w:bCs/>
          <w:color w:val="231F20"/>
          <w:lang w:val="en-IN"/>
        </w:rPr>
        <w:t xml:space="preserve">8 </w:t>
      </w:r>
      <w:r w:rsidRPr="003D7283">
        <w:rPr>
          <w:rFonts w:cstheme="minorHAnsi"/>
          <w:b/>
          <w:bCs/>
          <w:color w:val="231F20"/>
          <w:lang w:val="en-IN"/>
        </w:rPr>
        <w:t>Marks)</w:t>
      </w:r>
    </w:p>
    <w:p w:rsidR="00CA5FA8" w:rsidRPr="003D7283" w:rsidRDefault="00CA5FA8" w:rsidP="00083CB8">
      <w:pPr>
        <w:autoSpaceDE w:val="0"/>
        <w:autoSpaceDN w:val="0"/>
        <w:adjustRightInd w:val="0"/>
        <w:spacing w:after="0" w:line="240" w:lineRule="auto"/>
        <w:jc w:val="both"/>
        <w:rPr>
          <w:rFonts w:cstheme="minorHAnsi"/>
          <w:color w:val="231F20"/>
          <w:lang w:val="en-IN"/>
        </w:rPr>
      </w:pPr>
    </w:p>
    <w:p w:rsidR="005E1FE9" w:rsidRPr="003D7283" w:rsidRDefault="00083CB8" w:rsidP="00083CB8">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Power Grid Corporation, a </w:t>
      </w:r>
      <w:proofErr w:type="spellStart"/>
      <w:r w:rsidRPr="003D7283">
        <w:rPr>
          <w:rFonts w:cstheme="minorHAnsi"/>
          <w:color w:val="231F20"/>
          <w:lang w:val="en-IN"/>
        </w:rPr>
        <w:t>GoI</w:t>
      </w:r>
      <w:proofErr w:type="spellEnd"/>
      <w:r w:rsidRPr="003D7283">
        <w:rPr>
          <w:rFonts w:cstheme="minorHAnsi"/>
          <w:color w:val="231F20"/>
          <w:lang w:val="en-IN"/>
        </w:rPr>
        <w:t xml:space="preserve"> enterprise made a FPO under the book building route in 2010 for `744.23 crore in a price band of `85–90 per share. The FPO consisted of both a new issue of shares by the company and an offer for sale by the </w:t>
      </w:r>
      <w:proofErr w:type="spellStart"/>
      <w:r w:rsidRPr="003D7283">
        <w:rPr>
          <w:rFonts w:cstheme="minorHAnsi"/>
          <w:color w:val="231F20"/>
          <w:lang w:val="en-IN"/>
        </w:rPr>
        <w:t>GoI</w:t>
      </w:r>
      <w:proofErr w:type="spellEnd"/>
      <w:r w:rsidRPr="003D7283">
        <w:rPr>
          <w:rFonts w:cstheme="minorHAnsi"/>
          <w:color w:val="231F20"/>
          <w:lang w:val="en-IN"/>
        </w:rPr>
        <w:t>. After excluding employee reservation, the balance of the offer consisted of the NPO. As per the offer document, the offer price at `90 constituted an offer P/E multiple of 20 and an offer price-book value multiple of 2.38 times. The prevailing market price at that time was in the range of `100 per share. The offer received good response in all categories and was oversubscribed almost 15 times overall. Therefore, the cut-off price was fixed at `90. It traded well on listing day and closed at `96. It continued to hold firm in aftermarket trade thereafter well above the FPO price.  Through light on the difference between the FPO, IPO, Preferential issue, Bonus issue and right issue.</w:t>
      </w:r>
    </w:p>
    <w:p w:rsidR="00083CB8" w:rsidRPr="003D7283" w:rsidRDefault="00083CB8" w:rsidP="00083CB8">
      <w:pPr>
        <w:autoSpaceDE w:val="0"/>
        <w:autoSpaceDN w:val="0"/>
        <w:adjustRightInd w:val="0"/>
        <w:spacing w:after="0" w:line="240" w:lineRule="auto"/>
        <w:jc w:val="both"/>
        <w:rPr>
          <w:rFonts w:cstheme="minorHAnsi"/>
          <w:color w:val="231F20"/>
          <w:lang w:val="en-IN"/>
        </w:rPr>
      </w:pPr>
    </w:p>
    <w:p w:rsidR="003D7283" w:rsidRDefault="003D7283" w:rsidP="00083CB8">
      <w:pPr>
        <w:autoSpaceDE w:val="0"/>
        <w:autoSpaceDN w:val="0"/>
        <w:adjustRightInd w:val="0"/>
        <w:spacing w:after="0" w:line="240" w:lineRule="auto"/>
        <w:jc w:val="both"/>
        <w:rPr>
          <w:rFonts w:cstheme="minorHAnsi"/>
          <w:b/>
          <w:bCs/>
          <w:color w:val="231F20"/>
          <w:lang w:val="en-IN"/>
        </w:rPr>
      </w:pPr>
    </w:p>
    <w:p w:rsidR="003D7283" w:rsidRDefault="003D7283" w:rsidP="00083CB8">
      <w:pPr>
        <w:autoSpaceDE w:val="0"/>
        <w:autoSpaceDN w:val="0"/>
        <w:adjustRightInd w:val="0"/>
        <w:spacing w:after="0" w:line="240" w:lineRule="auto"/>
        <w:jc w:val="both"/>
        <w:rPr>
          <w:rFonts w:cstheme="minorHAnsi"/>
          <w:b/>
          <w:bCs/>
          <w:color w:val="231F20"/>
          <w:lang w:val="en-IN"/>
        </w:rPr>
      </w:pPr>
    </w:p>
    <w:p w:rsidR="005E1FE9" w:rsidRPr="003D7283" w:rsidRDefault="005E1FE9" w:rsidP="00083CB8">
      <w:pPr>
        <w:autoSpaceDE w:val="0"/>
        <w:autoSpaceDN w:val="0"/>
        <w:adjustRightInd w:val="0"/>
        <w:spacing w:after="0" w:line="240" w:lineRule="auto"/>
        <w:jc w:val="both"/>
        <w:rPr>
          <w:rFonts w:cstheme="minorHAnsi"/>
          <w:color w:val="231F20"/>
          <w:lang w:val="en-IN"/>
        </w:rPr>
      </w:pPr>
      <w:r w:rsidRPr="003D7283">
        <w:rPr>
          <w:rFonts w:cstheme="minorHAnsi"/>
          <w:b/>
          <w:bCs/>
          <w:color w:val="231F20"/>
          <w:lang w:val="en-IN"/>
        </w:rPr>
        <w:t>Questions.5</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003D7283">
        <w:rPr>
          <w:rFonts w:cstheme="minorHAnsi"/>
          <w:color w:val="231F20"/>
          <w:lang w:val="en-IN"/>
        </w:rPr>
        <w:tab/>
      </w:r>
      <w:r w:rsidRPr="003D7283">
        <w:rPr>
          <w:rFonts w:cstheme="minorHAnsi"/>
          <w:b/>
          <w:bCs/>
          <w:color w:val="231F20"/>
          <w:lang w:val="en-IN"/>
        </w:rPr>
        <w:t>(</w:t>
      </w:r>
      <w:r w:rsidR="00083CB8" w:rsidRPr="003D7283">
        <w:rPr>
          <w:rFonts w:cstheme="minorHAnsi"/>
          <w:b/>
          <w:bCs/>
          <w:color w:val="231F20"/>
          <w:lang w:val="en-IN"/>
        </w:rPr>
        <w:t xml:space="preserve">8 </w:t>
      </w:r>
      <w:r w:rsidRPr="003D7283">
        <w:rPr>
          <w:rFonts w:cstheme="minorHAnsi"/>
          <w:b/>
          <w:bCs/>
          <w:color w:val="231F20"/>
          <w:lang w:val="en-IN"/>
        </w:rPr>
        <w:t>Marks)</w:t>
      </w:r>
    </w:p>
    <w:p w:rsidR="005E1FE9" w:rsidRPr="003D7283" w:rsidRDefault="005E1FE9" w:rsidP="00083CB8">
      <w:pPr>
        <w:autoSpaceDE w:val="0"/>
        <w:autoSpaceDN w:val="0"/>
        <w:adjustRightInd w:val="0"/>
        <w:spacing w:after="0" w:line="240" w:lineRule="auto"/>
        <w:jc w:val="both"/>
        <w:rPr>
          <w:rFonts w:cstheme="minorHAnsi"/>
          <w:color w:val="231F20"/>
          <w:lang w:val="en-IN"/>
        </w:rPr>
      </w:pPr>
    </w:p>
    <w:p w:rsidR="00A07BC1" w:rsidRPr="003D7283" w:rsidRDefault="00083CB8"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ABC Ltd. makes an issue of 10,000 shares of `10 each at par aggregating to `1,00,000. The issue has been underwritten fully by two </w:t>
      </w:r>
      <w:r w:rsidR="00DB0212" w:rsidRPr="003D7283">
        <w:rPr>
          <w:rFonts w:cstheme="minorHAnsi"/>
          <w:color w:val="231F20"/>
          <w:lang w:val="en-IN"/>
        </w:rPr>
        <w:t>underwriter’s</w:t>
      </w:r>
      <w:r w:rsidRPr="003D7283">
        <w:rPr>
          <w:rFonts w:cstheme="minorHAnsi"/>
          <w:color w:val="231F20"/>
          <w:lang w:val="en-IN"/>
        </w:rPr>
        <w:t xml:space="preserve"> X and Y to the extent of `50,000 each. The issue has been closed and the following is the information available on the subscriptions.</w:t>
      </w:r>
    </w:p>
    <w:p w:rsidR="0085120D" w:rsidRPr="003D7283" w:rsidRDefault="0085120D" w:rsidP="0085120D">
      <w:pPr>
        <w:autoSpaceDE w:val="0"/>
        <w:autoSpaceDN w:val="0"/>
        <w:adjustRightInd w:val="0"/>
        <w:spacing w:after="0" w:line="240" w:lineRule="auto"/>
        <w:jc w:val="both"/>
        <w:rPr>
          <w:rFonts w:cstheme="minorHAnsi"/>
          <w:color w:val="231F20"/>
          <w:lang w:val="en-IN"/>
        </w:rPr>
      </w:pPr>
    </w:p>
    <w:p w:rsidR="0085120D" w:rsidRPr="003D7283" w:rsidRDefault="0085120D" w:rsidP="00DE14F2">
      <w:pPr>
        <w:autoSpaceDE w:val="0"/>
        <w:autoSpaceDN w:val="0"/>
        <w:adjustRightInd w:val="0"/>
        <w:spacing w:after="0" w:line="240" w:lineRule="auto"/>
        <w:ind w:left="4320" w:firstLine="720"/>
        <w:jc w:val="both"/>
        <w:rPr>
          <w:rFonts w:cstheme="minorHAnsi"/>
          <w:color w:val="231F20"/>
          <w:lang w:val="en-IN"/>
        </w:rPr>
      </w:pPr>
      <w:r w:rsidRPr="003D7283">
        <w:rPr>
          <w:rFonts w:cstheme="minorHAnsi"/>
          <w:color w:val="231F20"/>
          <w:lang w:val="en-IN"/>
        </w:rPr>
        <w:t>Amount `</w:t>
      </w:r>
    </w:p>
    <w:p w:rsidR="0085120D" w:rsidRPr="003D7283" w:rsidRDefault="0085120D"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Valid subscriptions received – </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003D7283">
        <w:rPr>
          <w:rFonts w:cstheme="minorHAnsi"/>
          <w:color w:val="231F20"/>
          <w:lang w:val="en-IN"/>
        </w:rPr>
        <w:tab/>
      </w:r>
      <w:r w:rsidRPr="003D7283">
        <w:rPr>
          <w:rFonts w:cstheme="minorHAnsi"/>
          <w:color w:val="231F20"/>
          <w:lang w:val="en-IN"/>
        </w:rPr>
        <w:t>76,500</w:t>
      </w:r>
    </w:p>
    <w:p w:rsidR="0085120D" w:rsidRPr="003D7283" w:rsidRDefault="0085120D"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Received through underwriter X– </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t>27,500</w:t>
      </w:r>
    </w:p>
    <w:p w:rsidR="0085120D" w:rsidRPr="003D7283" w:rsidRDefault="0085120D"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Received through underwriter Y–</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t>34,800</w:t>
      </w:r>
    </w:p>
    <w:p w:rsidR="0085120D" w:rsidRPr="003D7283" w:rsidRDefault="0085120D"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 xml:space="preserve">Direct subscriptions received – </w:t>
      </w:r>
      <w:r w:rsidRPr="003D7283">
        <w:rPr>
          <w:rFonts w:cstheme="minorHAnsi"/>
          <w:color w:val="231F20"/>
          <w:lang w:val="en-IN"/>
        </w:rPr>
        <w:tab/>
      </w:r>
      <w:r w:rsidRPr="003D7283">
        <w:rPr>
          <w:rFonts w:cstheme="minorHAnsi"/>
          <w:color w:val="231F20"/>
          <w:lang w:val="en-IN"/>
        </w:rPr>
        <w:tab/>
      </w:r>
      <w:r w:rsidRPr="003D7283">
        <w:rPr>
          <w:rFonts w:cstheme="minorHAnsi"/>
          <w:color w:val="231F20"/>
          <w:lang w:val="en-IN"/>
        </w:rPr>
        <w:tab/>
      </w:r>
      <w:r w:rsidR="003D7283">
        <w:rPr>
          <w:rFonts w:cstheme="minorHAnsi"/>
          <w:color w:val="231F20"/>
          <w:lang w:val="en-IN"/>
        </w:rPr>
        <w:tab/>
      </w:r>
      <w:r w:rsidRPr="003D7283">
        <w:rPr>
          <w:rFonts w:cstheme="minorHAnsi"/>
          <w:color w:val="231F20"/>
          <w:lang w:val="en-IN"/>
        </w:rPr>
        <w:t>14,200</w:t>
      </w:r>
    </w:p>
    <w:p w:rsidR="0085120D" w:rsidRPr="003D7283" w:rsidRDefault="0085120D" w:rsidP="0085120D">
      <w:pPr>
        <w:autoSpaceDE w:val="0"/>
        <w:autoSpaceDN w:val="0"/>
        <w:adjustRightInd w:val="0"/>
        <w:spacing w:after="0" w:line="240" w:lineRule="auto"/>
        <w:jc w:val="both"/>
        <w:rPr>
          <w:rFonts w:cstheme="minorHAnsi"/>
          <w:color w:val="231F20"/>
          <w:lang w:val="en-IN"/>
        </w:rPr>
      </w:pPr>
    </w:p>
    <w:p w:rsidR="0085120D" w:rsidRPr="003D7283" w:rsidRDefault="0085120D" w:rsidP="0085120D">
      <w:pPr>
        <w:autoSpaceDE w:val="0"/>
        <w:autoSpaceDN w:val="0"/>
        <w:adjustRightInd w:val="0"/>
        <w:spacing w:after="0" w:line="240" w:lineRule="auto"/>
        <w:jc w:val="both"/>
        <w:rPr>
          <w:rFonts w:cstheme="minorHAnsi"/>
          <w:color w:val="231F20"/>
          <w:lang w:val="en-IN"/>
        </w:rPr>
      </w:pPr>
      <w:r w:rsidRPr="003D7283">
        <w:rPr>
          <w:rFonts w:cstheme="minorHAnsi"/>
          <w:color w:val="231F20"/>
          <w:lang w:val="en-IN"/>
        </w:rPr>
        <w:t>Examine the underwriters’ devolvement.</w:t>
      </w:r>
    </w:p>
    <w:sectPr w:rsidR="0085120D" w:rsidRPr="003D7283" w:rsidSect="003D7283">
      <w:pgSz w:w="12240" w:h="15840"/>
      <w:pgMar w:top="426" w:right="1440" w:bottom="5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A08BC"/>
    <w:multiLevelType w:val="hybridMultilevel"/>
    <w:tmpl w:val="6ED41F70"/>
    <w:lvl w:ilvl="0" w:tplc="898C436C">
      <w:start w:val="1"/>
      <w:numFmt w:val="bullet"/>
      <w:lvlText w:val="•"/>
      <w:lvlJc w:val="left"/>
      <w:pPr>
        <w:tabs>
          <w:tab w:val="num" w:pos="720"/>
        </w:tabs>
        <w:ind w:left="720" w:hanging="360"/>
      </w:pPr>
      <w:rPr>
        <w:rFonts w:ascii="Times New Roman" w:hAnsi="Times New Roman" w:hint="default"/>
      </w:rPr>
    </w:lvl>
    <w:lvl w:ilvl="1" w:tplc="E1064FB8" w:tentative="1">
      <w:start w:val="1"/>
      <w:numFmt w:val="bullet"/>
      <w:lvlText w:val="•"/>
      <w:lvlJc w:val="left"/>
      <w:pPr>
        <w:tabs>
          <w:tab w:val="num" w:pos="1440"/>
        </w:tabs>
        <w:ind w:left="1440" w:hanging="360"/>
      </w:pPr>
      <w:rPr>
        <w:rFonts w:ascii="Times New Roman" w:hAnsi="Times New Roman" w:hint="default"/>
      </w:rPr>
    </w:lvl>
    <w:lvl w:ilvl="2" w:tplc="DFA2CF16" w:tentative="1">
      <w:start w:val="1"/>
      <w:numFmt w:val="bullet"/>
      <w:lvlText w:val="•"/>
      <w:lvlJc w:val="left"/>
      <w:pPr>
        <w:tabs>
          <w:tab w:val="num" w:pos="2160"/>
        </w:tabs>
        <w:ind w:left="2160" w:hanging="360"/>
      </w:pPr>
      <w:rPr>
        <w:rFonts w:ascii="Times New Roman" w:hAnsi="Times New Roman" w:hint="default"/>
      </w:rPr>
    </w:lvl>
    <w:lvl w:ilvl="3" w:tplc="1F2650EC" w:tentative="1">
      <w:start w:val="1"/>
      <w:numFmt w:val="bullet"/>
      <w:lvlText w:val="•"/>
      <w:lvlJc w:val="left"/>
      <w:pPr>
        <w:tabs>
          <w:tab w:val="num" w:pos="2880"/>
        </w:tabs>
        <w:ind w:left="2880" w:hanging="360"/>
      </w:pPr>
      <w:rPr>
        <w:rFonts w:ascii="Times New Roman" w:hAnsi="Times New Roman" w:hint="default"/>
      </w:rPr>
    </w:lvl>
    <w:lvl w:ilvl="4" w:tplc="C0503884" w:tentative="1">
      <w:start w:val="1"/>
      <w:numFmt w:val="bullet"/>
      <w:lvlText w:val="•"/>
      <w:lvlJc w:val="left"/>
      <w:pPr>
        <w:tabs>
          <w:tab w:val="num" w:pos="3600"/>
        </w:tabs>
        <w:ind w:left="3600" w:hanging="360"/>
      </w:pPr>
      <w:rPr>
        <w:rFonts w:ascii="Times New Roman" w:hAnsi="Times New Roman" w:hint="default"/>
      </w:rPr>
    </w:lvl>
    <w:lvl w:ilvl="5" w:tplc="803AD0EE" w:tentative="1">
      <w:start w:val="1"/>
      <w:numFmt w:val="bullet"/>
      <w:lvlText w:val="•"/>
      <w:lvlJc w:val="left"/>
      <w:pPr>
        <w:tabs>
          <w:tab w:val="num" w:pos="4320"/>
        </w:tabs>
        <w:ind w:left="4320" w:hanging="360"/>
      </w:pPr>
      <w:rPr>
        <w:rFonts w:ascii="Times New Roman" w:hAnsi="Times New Roman" w:hint="default"/>
      </w:rPr>
    </w:lvl>
    <w:lvl w:ilvl="6" w:tplc="FB7C8550" w:tentative="1">
      <w:start w:val="1"/>
      <w:numFmt w:val="bullet"/>
      <w:lvlText w:val="•"/>
      <w:lvlJc w:val="left"/>
      <w:pPr>
        <w:tabs>
          <w:tab w:val="num" w:pos="5040"/>
        </w:tabs>
        <w:ind w:left="5040" w:hanging="360"/>
      </w:pPr>
      <w:rPr>
        <w:rFonts w:ascii="Times New Roman" w:hAnsi="Times New Roman" w:hint="default"/>
      </w:rPr>
    </w:lvl>
    <w:lvl w:ilvl="7" w:tplc="D7488B86" w:tentative="1">
      <w:start w:val="1"/>
      <w:numFmt w:val="bullet"/>
      <w:lvlText w:val="•"/>
      <w:lvlJc w:val="left"/>
      <w:pPr>
        <w:tabs>
          <w:tab w:val="num" w:pos="5760"/>
        </w:tabs>
        <w:ind w:left="5760" w:hanging="360"/>
      </w:pPr>
      <w:rPr>
        <w:rFonts w:ascii="Times New Roman" w:hAnsi="Times New Roman" w:hint="default"/>
      </w:rPr>
    </w:lvl>
    <w:lvl w:ilvl="8" w:tplc="279E3A98"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19C13F11"/>
    <w:multiLevelType w:val="hybridMultilevel"/>
    <w:tmpl w:val="D9148C2E"/>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40E54B48"/>
    <w:multiLevelType w:val="hybridMultilevel"/>
    <w:tmpl w:val="483EFC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36B2194"/>
    <w:multiLevelType w:val="hybridMultilevel"/>
    <w:tmpl w:val="A88ED3A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BA44AE0"/>
    <w:multiLevelType w:val="singleLevel"/>
    <w:tmpl w:val="4BC67B52"/>
    <w:lvl w:ilvl="0">
      <w:start w:val="1"/>
      <w:numFmt w:val="lowerLetter"/>
      <w:lvlText w:val="%1."/>
      <w:lvlJc w:val="left"/>
      <w:pPr>
        <w:tabs>
          <w:tab w:val="num" w:pos="360"/>
        </w:tabs>
        <w:ind w:left="360" w:hanging="360"/>
      </w:pPr>
      <w:rPr>
        <w:rFonts w:hint="default"/>
      </w:rPr>
    </w:lvl>
  </w:abstractNum>
  <w:num w:numId="1">
    <w:abstractNumId w:val="1"/>
  </w:num>
  <w:num w:numId="2">
    <w:abstractNumId w:val="2"/>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01CA"/>
    <w:rsid w:val="000366BC"/>
    <w:rsid w:val="000544F9"/>
    <w:rsid w:val="00067156"/>
    <w:rsid w:val="00083CB8"/>
    <w:rsid w:val="000A2AB9"/>
    <w:rsid w:val="00124395"/>
    <w:rsid w:val="00152DCD"/>
    <w:rsid w:val="001A7A11"/>
    <w:rsid w:val="001B2304"/>
    <w:rsid w:val="00281B0A"/>
    <w:rsid w:val="002A197C"/>
    <w:rsid w:val="002C2D26"/>
    <w:rsid w:val="0032070D"/>
    <w:rsid w:val="0032675D"/>
    <w:rsid w:val="00396829"/>
    <w:rsid w:val="003B07DD"/>
    <w:rsid w:val="003D419C"/>
    <w:rsid w:val="003D7283"/>
    <w:rsid w:val="00453723"/>
    <w:rsid w:val="004601CA"/>
    <w:rsid w:val="00495AD9"/>
    <w:rsid w:val="0051682C"/>
    <w:rsid w:val="00564C75"/>
    <w:rsid w:val="005A300A"/>
    <w:rsid w:val="005E1FE9"/>
    <w:rsid w:val="005E7A1A"/>
    <w:rsid w:val="00600586"/>
    <w:rsid w:val="00652E23"/>
    <w:rsid w:val="00653A7B"/>
    <w:rsid w:val="006F297D"/>
    <w:rsid w:val="00771F89"/>
    <w:rsid w:val="00777D25"/>
    <w:rsid w:val="007843D6"/>
    <w:rsid w:val="0085120D"/>
    <w:rsid w:val="00891492"/>
    <w:rsid w:val="008B30A0"/>
    <w:rsid w:val="00985F7E"/>
    <w:rsid w:val="00987DC9"/>
    <w:rsid w:val="009A375A"/>
    <w:rsid w:val="009D7E4E"/>
    <w:rsid w:val="00A07BC1"/>
    <w:rsid w:val="00AB2230"/>
    <w:rsid w:val="00AF0EAA"/>
    <w:rsid w:val="00BC586E"/>
    <w:rsid w:val="00BD616E"/>
    <w:rsid w:val="00C10A79"/>
    <w:rsid w:val="00C15CAD"/>
    <w:rsid w:val="00C453EE"/>
    <w:rsid w:val="00C92F63"/>
    <w:rsid w:val="00CA5FA8"/>
    <w:rsid w:val="00CF6431"/>
    <w:rsid w:val="00D96AEE"/>
    <w:rsid w:val="00D97BBC"/>
    <w:rsid w:val="00DB0212"/>
    <w:rsid w:val="00DE14F2"/>
    <w:rsid w:val="00E03CB9"/>
    <w:rsid w:val="00E17543"/>
    <w:rsid w:val="00FA6B5D"/>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639F0C"/>
  <w15:chartTrackingRefBased/>
  <w15:docId w15:val="{512A5716-1F23-4CF6-959C-8950B339D7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F0EAA"/>
    <w:pPr>
      <w:spacing w:after="200" w:line="276" w:lineRule="auto"/>
      <w:ind w:left="720"/>
      <w:contextualSpacing/>
    </w:pPr>
  </w:style>
  <w:style w:type="paragraph" w:styleId="BodyTextIndent">
    <w:name w:val="Body Text Indent"/>
    <w:basedOn w:val="Normal"/>
    <w:link w:val="BodyTextIndentChar"/>
    <w:semiHidden/>
    <w:rsid w:val="00E17543"/>
    <w:pPr>
      <w:spacing w:after="0" w:line="240" w:lineRule="auto"/>
      <w:ind w:left="360" w:hanging="360"/>
    </w:pPr>
    <w:rPr>
      <w:rFonts w:ascii="Times New Roman" w:eastAsia="Times New Roman" w:hAnsi="Times New Roman" w:cs="Times New Roman"/>
      <w:sz w:val="24"/>
      <w:szCs w:val="20"/>
    </w:rPr>
  </w:style>
  <w:style w:type="character" w:customStyle="1" w:styleId="BodyTextIndentChar">
    <w:name w:val="Body Text Indent Char"/>
    <w:basedOn w:val="DefaultParagraphFont"/>
    <w:link w:val="BodyTextIndent"/>
    <w:semiHidden/>
    <w:rsid w:val="00E17543"/>
    <w:rPr>
      <w:rFonts w:ascii="Times New Roman" w:eastAsia="Times New Roman" w:hAnsi="Times New Roman" w:cs="Times New Roman"/>
      <w:sz w:val="24"/>
      <w:szCs w:val="20"/>
    </w:rPr>
  </w:style>
  <w:style w:type="table" w:styleId="TableGrid">
    <w:name w:val="Table Grid"/>
    <w:basedOn w:val="TableNormal"/>
    <w:uiPriority w:val="39"/>
    <w:rsid w:val="00564C75"/>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BalloonText">
    <w:name w:val="Balloon Text"/>
    <w:basedOn w:val="Normal"/>
    <w:link w:val="BalloonTextChar"/>
    <w:uiPriority w:val="99"/>
    <w:semiHidden/>
    <w:unhideWhenUsed/>
    <w:rsid w:val="008B30A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B30A0"/>
    <w:rPr>
      <w:rFonts w:ascii="Segoe UI" w:hAnsi="Segoe UI" w:cs="Segoe UI"/>
      <w:sz w:val="18"/>
      <w:szCs w:val="18"/>
    </w:rPr>
  </w:style>
  <w:style w:type="paragraph" w:styleId="NormalWeb">
    <w:name w:val="Normal (Web)"/>
    <w:basedOn w:val="Normal"/>
    <w:uiPriority w:val="99"/>
    <w:unhideWhenUsed/>
    <w:rsid w:val="005E1FE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8916054">
      <w:bodyDiv w:val="1"/>
      <w:marLeft w:val="0"/>
      <w:marRight w:val="0"/>
      <w:marTop w:val="0"/>
      <w:marBottom w:val="0"/>
      <w:divBdr>
        <w:top w:val="none" w:sz="0" w:space="0" w:color="auto"/>
        <w:left w:val="none" w:sz="0" w:space="0" w:color="auto"/>
        <w:bottom w:val="none" w:sz="0" w:space="0" w:color="auto"/>
        <w:right w:val="none" w:sz="0" w:space="0" w:color="auto"/>
      </w:divBdr>
    </w:div>
    <w:div w:id="1141848750">
      <w:bodyDiv w:val="1"/>
      <w:marLeft w:val="0"/>
      <w:marRight w:val="0"/>
      <w:marTop w:val="0"/>
      <w:marBottom w:val="0"/>
      <w:divBdr>
        <w:top w:val="none" w:sz="0" w:space="0" w:color="auto"/>
        <w:left w:val="none" w:sz="0" w:space="0" w:color="auto"/>
        <w:bottom w:val="none" w:sz="0" w:space="0" w:color="auto"/>
        <w:right w:val="none" w:sz="0" w:space="0" w:color="auto"/>
      </w:divBdr>
      <w:divsChild>
        <w:div w:id="1424105880">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33</TotalTime>
  <Pages>1</Pages>
  <Words>533</Words>
  <Characters>3042</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Reena Agarwal</dc:creator>
  <cp:keywords/>
  <dc:description/>
  <cp:lastModifiedBy>admin</cp:lastModifiedBy>
  <cp:revision>11</cp:revision>
  <cp:lastPrinted>2018-09-26T10:46:00Z</cp:lastPrinted>
  <dcterms:created xsi:type="dcterms:W3CDTF">2021-04-19T05:49:00Z</dcterms:created>
  <dcterms:modified xsi:type="dcterms:W3CDTF">2021-04-21T04:38:00Z</dcterms:modified>
</cp:coreProperties>
</file>