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459" w:type="pct"/>
        <w:tblLook w:val="04A0" w:firstRow="1" w:lastRow="0" w:firstColumn="1" w:lastColumn="0" w:noHBand="0" w:noVBand="1"/>
      </w:tblPr>
      <w:tblGrid>
        <w:gridCol w:w="2888"/>
        <w:gridCol w:w="6956"/>
      </w:tblGrid>
      <w:tr w:rsidR="00124E36" w:rsidRPr="00DC65BD" w14:paraId="51A66B9F" w14:textId="77777777" w:rsidTr="00124E36">
        <w:trPr>
          <w:trHeight w:val="723"/>
        </w:trPr>
        <w:tc>
          <w:tcPr>
            <w:tcW w:w="1467" w:type="pct"/>
          </w:tcPr>
          <w:p w14:paraId="7322F89D" w14:textId="77777777" w:rsidR="00124E36" w:rsidRPr="00DC65BD" w:rsidRDefault="00124E36" w:rsidP="004C5DB8">
            <w:pPr>
              <w:spacing w:after="0"/>
              <w:rPr>
                <w:rFonts w:cstheme="minorHAnsi"/>
                <w:i/>
                <w:sz w:val="24"/>
                <w:szCs w:val="24"/>
                <w:lang w:val="en-IN"/>
              </w:rPr>
            </w:pPr>
            <w:r w:rsidRPr="00DC65BD">
              <w:rPr>
                <w:rFonts w:cstheme="minorHAnsi"/>
                <w:b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FCCAAD6" wp14:editId="39C2862B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pct"/>
          </w:tcPr>
          <w:p w14:paraId="1FA8A3F6" w14:textId="03AA1986" w:rsidR="00124E36" w:rsidRPr="009E2728" w:rsidRDefault="00124E36" w:rsidP="004C5DB8">
            <w:pPr>
              <w:spacing w:after="0"/>
              <w:jc w:val="center"/>
              <w:rPr>
                <w:rFonts w:cstheme="minorHAnsi"/>
                <w:b/>
                <w:sz w:val="32"/>
                <w:szCs w:val="32"/>
                <w:lang w:val="en-IN"/>
              </w:rPr>
            </w:pPr>
            <w:r w:rsidRPr="009E2728">
              <w:rPr>
                <w:rFonts w:cstheme="minorHAnsi"/>
                <w:b/>
                <w:sz w:val="32"/>
                <w:szCs w:val="32"/>
                <w:lang w:val="en-IN"/>
              </w:rPr>
              <w:t xml:space="preserve">JAIPURIA </w:t>
            </w:r>
            <w:r w:rsidR="00B0757C" w:rsidRPr="009E2728">
              <w:rPr>
                <w:rFonts w:cstheme="minorHAnsi"/>
                <w:b/>
                <w:sz w:val="32"/>
                <w:szCs w:val="32"/>
                <w:lang w:val="en-IN"/>
              </w:rPr>
              <w:t>INSTITUTE</w:t>
            </w:r>
            <w:r w:rsidRPr="009E2728">
              <w:rPr>
                <w:rFonts w:cstheme="minorHAnsi"/>
                <w:b/>
                <w:sz w:val="32"/>
                <w:szCs w:val="32"/>
                <w:lang w:val="en-IN"/>
              </w:rPr>
              <w:t xml:space="preserve"> OF MANAGEMENT, INDORE</w:t>
            </w:r>
          </w:p>
          <w:p w14:paraId="23A6D0D6" w14:textId="6CA078D9" w:rsidR="00124E36" w:rsidRPr="00DC65BD" w:rsidRDefault="00124E36" w:rsidP="004C5DB8">
            <w:pPr>
              <w:spacing w:after="0"/>
              <w:jc w:val="center"/>
              <w:rPr>
                <w:rFonts w:cstheme="minorHAnsi"/>
                <w:i/>
                <w:sz w:val="24"/>
                <w:szCs w:val="24"/>
                <w:lang w:val="en-IN"/>
              </w:rPr>
            </w:pPr>
            <w:r w:rsidRPr="009E2728">
              <w:rPr>
                <w:rFonts w:cstheme="minorHAnsi"/>
                <w:sz w:val="28"/>
                <w:szCs w:val="28"/>
                <w:lang w:val="en-IN"/>
              </w:rPr>
              <w:t>Post Graduate Diploma in Management (Batch 202</w:t>
            </w:r>
            <w:r w:rsidR="00B0757C" w:rsidRPr="009E2728">
              <w:rPr>
                <w:rFonts w:cstheme="minorHAnsi"/>
                <w:sz w:val="28"/>
                <w:szCs w:val="28"/>
                <w:lang w:val="en-IN"/>
              </w:rPr>
              <w:t>4</w:t>
            </w:r>
            <w:r w:rsidRPr="009E2728">
              <w:rPr>
                <w:rFonts w:cstheme="minorHAnsi"/>
                <w:sz w:val="28"/>
                <w:szCs w:val="28"/>
                <w:lang w:val="en-IN"/>
              </w:rPr>
              <w:t>-2</w:t>
            </w:r>
            <w:r w:rsidR="00B0757C" w:rsidRPr="009E2728">
              <w:rPr>
                <w:rFonts w:cstheme="minorHAnsi"/>
                <w:sz w:val="28"/>
                <w:szCs w:val="28"/>
                <w:lang w:val="en-IN"/>
              </w:rPr>
              <w:t>6</w:t>
            </w:r>
            <w:r w:rsidRPr="009E2728">
              <w:rPr>
                <w:rFonts w:cstheme="minorHAnsi"/>
                <w:sz w:val="28"/>
                <w:szCs w:val="28"/>
                <w:lang w:val="en-IN"/>
              </w:rPr>
              <w:t>)</w:t>
            </w:r>
          </w:p>
        </w:tc>
      </w:tr>
      <w:tr w:rsidR="00124E36" w:rsidRPr="00DC65BD" w14:paraId="184A5253" w14:textId="77777777" w:rsidTr="00124E36">
        <w:trPr>
          <w:trHeight w:val="660"/>
        </w:trPr>
        <w:tc>
          <w:tcPr>
            <w:tcW w:w="5000" w:type="pct"/>
            <w:gridSpan w:val="2"/>
          </w:tcPr>
          <w:p w14:paraId="787B9058" w14:textId="3ACC8D59" w:rsidR="00124E36" w:rsidRPr="009E2728" w:rsidRDefault="00124E36" w:rsidP="004C5DB8">
            <w:pPr>
              <w:tabs>
                <w:tab w:val="left" w:pos="90"/>
              </w:tabs>
              <w:spacing w:after="0"/>
              <w:jc w:val="center"/>
              <w:rPr>
                <w:rFonts w:cstheme="minorHAnsi"/>
                <w:b/>
                <w:sz w:val="28"/>
                <w:szCs w:val="28"/>
                <w:lang w:val="en-IN"/>
              </w:rPr>
            </w:pPr>
            <w:r w:rsidRPr="009E2728">
              <w:rPr>
                <w:rFonts w:cstheme="minorHAnsi"/>
                <w:b/>
                <w:sz w:val="28"/>
                <w:szCs w:val="28"/>
                <w:lang w:val="en-IN"/>
              </w:rPr>
              <w:t xml:space="preserve">Course Title: </w:t>
            </w:r>
            <w:r w:rsidRPr="009E2728">
              <w:rPr>
                <w:rFonts w:cstheme="minorHAnsi"/>
                <w:b/>
                <w:color w:val="000000" w:themeColor="text1"/>
                <w:sz w:val="28"/>
                <w:szCs w:val="28"/>
                <w:lang w:val="en-IN"/>
              </w:rPr>
              <w:t>Fixed Income Securities</w:t>
            </w:r>
            <w:r w:rsidRPr="009E2728">
              <w:rPr>
                <w:rFonts w:cstheme="minorHAnsi"/>
                <w:b/>
                <w:sz w:val="28"/>
                <w:szCs w:val="28"/>
                <w:lang w:val="en-IN"/>
              </w:rPr>
              <w:t xml:space="preserve"> (Course Code: 40234)</w:t>
            </w:r>
          </w:p>
          <w:p w14:paraId="375D7B27" w14:textId="4D3C9F78" w:rsidR="00124E36" w:rsidRPr="00DC65BD" w:rsidRDefault="00124E36" w:rsidP="00124E36">
            <w:pPr>
              <w:tabs>
                <w:tab w:val="left" w:pos="90"/>
              </w:tabs>
              <w:spacing w:after="0"/>
              <w:jc w:val="center"/>
              <w:rPr>
                <w:rFonts w:cstheme="minorHAnsi"/>
                <w:b/>
                <w:sz w:val="24"/>
                <w:szCs w:val="24"/>
                <w:lang w:val="en-IN"/>
              </w:rPr>
            </w:pPr>
            <w:r w:rsidRPr="009E2728">
              <w:rPr>
                <w:rFonts w:cstheme="minorHAnsi"/>
                <w:b/>
                <w:sz w:val="28"/>
                <w:szCs w:val="28"/>
                <w:lang w:val="en-IN"/>
              </w:rPr>
              <w:t xml:space="preserve">End Term Examination, Term - V </w:t>
            </w:r>
            <w:r w:rsidR="004850EF" w:rsidRPr="009E2728">
              <w:rPr>
                <w:rFonts w:cstheme="minorHAnsi"/>
                <w:b/>
                <w:sz w:val="28"/>
                <w:szCs w:val="28"/>
                <w:lang w:val="en-IN"/>
              </w:rPr>
              <w:t>(</w:t>
            </w:r>
            <w:r w:rsidR="009E2728" w:rsidRPr="009E2728">
              <w:rPr>
                <w:rFonts w:cstheme="minorHAnsi"/>
                <w:b/>
                <w:sz w:val="28"/>
                <w:szCs w:val="28"/>
                <w:lang w:val="en-IN"/>
              </w:rPr>
              <w:t>January</w:t>
            </w:r>
            <w:r w:rsidRPr="009E2728">
              <w:rPr>
                <w:rFonts w:cstheme="minorHAnsi"/>
                <w:b/>
                <w:sz w:val="28"/>
                <w:szCs w:val="28"/>
                <w:lang w:val="en-IN"/>
              </w:rPr>
              <w:t xml:space="preserve"> 202</w:t>
            </w:r>
            <w:r w:rsidR="00B0757C" w:rsidRPr="009E2728">
              <w:rPr>
                <w:rFonts w:cstheme="minorHAnsi"/>
                <w:b/>
                <w:sz w:val="28"/>
                <w:szCs w:val="28"/>
                <w:lang w:val="en-IN"/>
              </w:rPr>
              <w:t>6</w:t>
            </w:r>
            <w:r w:rsidRPr="009E2728">
              <w:rPr>
                <w:rFonts w:cstheme="minorHAnsi"/>
                <w:b/>
                <w:sz w:val="28"/>
                <w:szCs w:val="28"/>
                <w:lang w:val="en-IN"/>
              </w:rPr>
              <w:t xml:space="preserve">) </w:t>
            </w:r>
          </w:p>
        </w:tc>
      </w:tr>
      <w:tr w:rsidR="00124E36" w:rsidRPr="00DC65BD" w14:paraId="4E6E1EE0" w14:textId="77777777" w:rsidTr="00124E36">
        <w:trPr>
          <w:trHeight w:val="582"/>
        </w:trPr>
        <w:tc>
          <w:tcPr>
            <w:tcW w:w="5000" w:type="pct"/>
            <w:gridSpan w:val="2"/>
          </w:tcPr>
          <w:p w14:paraId="7644F4BE" w14:textId="77777777" w:rsidR="00124E36" w:rsidRPr="00DC65BD" w:rsidRDefault="00124E36" w:rsidP="004C5DB8">
            <w:pPr>
              <w:spacing w:after="0"/>
              <w:rPr>
                <w:rFonts w:cstheme="minorHAnsi"/>
                <w:i/>
                <w:sz w:val="24"/>
                <w:szCs w:val="24"/>
                <w:lang w:val="en-IN"/>
              </w:rPr>
            </w:pPr>
            <w:r w:rsidRPr="00DC65BD">
              <w:rPr>
                <w:rFonts w:cstheme="minorHAnsi"/>
                <w:b/>
                <w:sz w:val="24"/>
                <w:szCs w:val="24"/>
                <w:lang w:val="en-IN"/>
              </w:rPr>
              <w:t xml:space="preserve"> Time Duration: 2 Hours                                                                                          Total Marks: 40</w:t>
            </w:r>
          </w:p>
        </w:tc>
      </w:tr>
    </w:tbl>
    <w:p w14:paraId="71A348F8" w14:textId="77777777" w:rsidR="00124E36" w:rsidRPr="00DC65BD" w:rsidRDefault="00124E36" w:rsidP="00124E36">
      <w:pPr>
        <w:spacing w:after="0" w:line="240" w:lineRule="auto"/>
        <w:jc w:val="both"/>
        <w:rPr>
          <w:rFonts w:cstheme="minorHAnsi"/>
          <w:b/>
          <w:i/>
          <w:iCs/>
          <w:sz w:val="24"/>
          <w:szCs w:val="24"/>
        </w:rPr>
      </w:pPr>
    </w:p>
    <w:p w14:paraId="20334AE1" w14:textId="77777777" w:rsidR="00124E36" w:rsidRPr="00DC65BD" w:rsidRDefault="00124E36" w:rsidP="00124E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BD">
        <w:rPr>
          <w:rFonts w:cstheme="minorHAnsi"/>
          <w:b/>
          <w:i/>
          <w:iCs/>
          <w:sz w:val="24"/>
          <w:szCs w:val="24"/>
        </w:rPr>
        <w:t>General Instructions</w:t>
      </w:r>
      <w:r w:rsidRPr="00DC65BD">
        <w:rPr>
          <w:rFonts w:cstheme="minorHAnsi"/>
          <w:b/>
          <w:sz w:val="24"/>
          <w:szCs w:val="24"/>
        </w:rPr>
        <w:t>:</w:t>
      </w:r>
    </w:p>
    <w:p w14:paraId="63A7448C" w14:textId="558BA010" w:rsidR="005D6D6F" w:rsidRPr="005D6D6F" w:rsidRDefault="005D6D6F" w:rsidP="005D6D6F">
      <w:pPr>
        <w:pStyle w:val="ListParagraph"/>
        <w:numPr>
          <w:ilvl w:val="0"/>
          <w:numId w:val="1"/>
        </w:numPr>
        <w:jc w:val="both"/>
        <w:rPr>
          <w:rFonts w:cstheme="minorHAnsi"/>
          <w:bCs/>
          <w:i/>
          <w:sz w:val="24"/>
          <w:szCs w:val="24"/>
          <w:lang w:val="en-IN"/>
        </w:rPr>
      </w:pPr>
      <w:r w:rsidRPr="005D6D6F">
        <w:rPr>
          <w:rFonts w:cstheme="minorHAnsi"/>
          <w:bCs/>
          <w:i/>
          <w:sz w:val="24"/>
          <w:szCs w:val="24"/>
          <w:lang w:val="en-IN"/>
        </w:rPr>
        <w:t xml:space="preserve">This is a </w:t>
      </w:r>
      <w:r w:rsidRPr="00223A0D">
        <w:rPr>
          <w:rFonts w:cstheme="minorHAnsi"/>
          <w:b/>
          <w:iCs/>
          <w:sz w:val="24"/>
          <w:szCs w:val="24"/>
          <w:lang w:val="en-IN"/>
        </w:rPr>
        <w:t>pen-and-paper exam</w:t>
      </w:r>
      <w:r>
        <w:rPr>
          <w:rFonts w:cstheme="minorHAnsi"/>
          <w:bCs/>
          <w:i/>
          <w:sz w:val="24"/>
          <w:szCs w:val="24"/>
          <w:lang w:val="en-IN"/>
        </w:rPr>
        <w:t>; answers must be written on</w:t>
      </w:r>
      <w:r w:rsidRPr="005D6D6F">
        <w:rPr>
          <w:rFonts w:cstheme="minorHAnsi"/>
          <w:bCs/>
          <w:i/>
          <w:sz w:val="24"/>
          <w:szCs w:val="24"/>
          <w:lang w:val="en-IN"/>
        </w:rPr>
        <w:t xml:space="preserve"> the provided answer sheets.</w:t>
      </w:r>
    </w:p>
    <w:p w14:paraId="22FD9BBB" w14:textId="68F39396" w:rsidR="005D6D6F" w:rsidRPr="005D6D6F" w:rsidRDefault="005D6D6F" w:rsidP="005D6D6F">
      <w:pPr>
        <w:pStyle w:val="ListParagraph"/>
        <w:numPr>
          <w:ilvl w:val="0"/>
          <w:numId w:val="1"/>
        </w:numPr>
        <w:jc w:val="both"/>
        <w:rPr>
          <w:rFonts w:cstheme="minorHAnsi"/>
          <w:bCs/>
          <w:i/>
          <w:sz w:val="24"/>
          <w:szCs w:val="24"/>
          <w:lang w:val="en-IN"/>
        </w:rPr>
      </w:pPr>
      <w:r w:rsidRPr="005D6D6F">
        <w:rPr>
          <w:rFonts w:cstheme="minorHAnsi"/>
          <w:b/>
          <w:iCs/>
          <w:sz w:val="24"/>
          <w:szCs w:val="24"/>
          <w:lang w:val="en-IN"/>
        </w:rPr>
        <w:t xml:space="preserve">Soft copy </w:t>
      </w:r>
      <w:r w:rsidR="00F86F83">
        <w:rPr>
          <w:rFonts w:cstheme="minorHAnsi"/>
          <w:b/>
          <w:iCs/>
          <w:sz w:val="24"/>
          <w:szCs w:val="24"/>
          <w:lang w:val="en-IN"/>
        </w:rPr>
        <w:t>of instructor material</w:t>
      </w:r>
      <w:r w:rsidRPr="005D6D6F">
        <w:rPr>
          <w:rFonts w:cstheme="minorHAnsi"/>
          <w:b/>
          <w:iCs/>
          <w:sz w:val="24"/>
          <w:szCs w:val="24"/>
          <w:lang w:val="en-IN"/>
        </w:rPr>
        <w:t xml:space="preserve"> </w:t>
      </w:r>
      <w:r w:rsidR="00F86F83">
        <w:rPr>
          <w:rFonts w:cstheme="minorHAnsi"/>
          <w:b/>
          <w:iCs/>
          <w:sz w:val="24"/>
          <w:szCs w:val="24"/>
          <w:lang w:val="en-IN"/>
        </w:rPr>
        <w:t>is</w:t>
      </w:r>
      <w:r w:rsidRPr="005D6D6F">
        <w:rPr>
          <w:rFonts w:cstheme="minorHAnsi"/>
          <w:b/>
          <w:iCs/>
          <w:sz w:val="24"/>
          <w:szCs w:val="24"/>
          <w:lang w:val="en-IN"/>
        </w:rPr>
        <w:t xml:space="preserve"> allowed </w:t>
      </w:r>
      <w:r w:rsidRPr="00083FCD">
        <w:rPr>
          <w:rFonts w:cstheme="minorHAnsi"/>
          <w:bCs/>
          <w:iCs/>
          <w:sz w:val="24"/>
          <w:szCs w:val="24"/>
          <w:lang w:val="en-IN"/>
        </w:rPr>
        <w:t>for</w:t>
      </w:r>
      <w:r w:rsidRPr="005D6D6F">
        <w:rPr>
          <w:rFonts w:cstheme="minorHAnsi"/>
          <w:bCs/>
          <w:i/>
          <w:sz w:val="24"/>
          <w:szCs w:val="24"/>
          <w:lang w:val="en-IN"/>
        </w:rPr>
        <w:t xml:space="preserve"> reference during the exam.</w:t>
      </w:r>
    </w:p>
    <w:p w14:paraId="764C2BD9" w14:textId="4945D255" w:rsidR="005D6D6F" w:rsidRPr="005D6D6F" w:rsidRDefault="005D6D6F" w:rsidP="005D6D6F">
      <w:pPr>
        <w:pStyle w:val="ListParagraph"/>
        <w:numPr>
          <w:ilvl w:val="0"/>
          <w:numId w:val="1"/>
        </w:numPr>
        <w:jc w:val="both"/>
        <w:rPr>
          <w:rFonts w:cstheme="minorHAnsi"/>
          <w:bCs/>
          <w:i/>
          <w:sz w:val="24"/>
          <w:szCs w:val="24"/>
          <w:lang w:val="en-IN"/>
        </w:rPr>
      </w:pPr>
      <w:r w:rsidRPr="005D6D6F">
        <w:rPr>
          <w:rFonts w:cstheme="minorHAnsi"/>
          <w:b/>
          <w:iCs/>
          <w:sz w:val="24"/>
          <w:szCs w:val="24"/>
          <w:lang w:val="en-IN"/>
        </w:rPr>
        <w:t>MS Excel can be used to solve numerical problems; however, all final answers and key workings must be transferred to the</w:t>
      </w:r>
      <w:r w:rsidRPr="00223A0D">
        <w:rPr>
          <w:rFonts w:cstheme="minorHAnsi"/>
          <w:b/>
          <w:iCs/>
          <w:sz w:val="24"/>
          <w:szCs w:val="24"/>
          <w:lang w:val="en-IN"/>
        </w:rPr>
        <w:t xml:space="preserve"> physical</w:t>
      </w:r>
      <w:r w:rsidRPr="005D6D6F">
        <w:rPr>
          <w:rFonts w:cstheme="minorHAnsi"/>
          <w:b/>
          <w:iCs/>
          <w:sz w:val="24"/>
          <w:szCs w:val="24"/>
          <w:lang w:val="en-IN"/>
        </w:rPr>
        <w:t xml:space="preserve"> answer sheet</w:t>
      </w:r>
      <w:r w:rsidRPr="005D6D6F">
        <w:rPr>
          <w:rFonts w:cstheme="minorHAnsi"/>
          <w:bCs/>
          <w:i/>
          <w:sz w:val="24"/>
          <w:szCs w:val="24"/>
          <w:lang w:val="en-IN"/>
        </w:rPr>
        <w:t>. Excel files are not required to be submitted.</w:t>
      </w:r>
    </w:p>
    <w:p w14:paraId="633B18A5" w14:textId="4BC359F2" w:rsidR="005D6D6F" w:rsidRPr="005D6D6F" w:rsidRDefault="005D6D6F" w:rsidP="005D6D6F">
      <w:pPr>
        <w:pStyle w:val="ListParagraph"/>
        <w:numPr>
          <w:ilvl w:val="0"/>
          <w:numId w:val="1"/>
        </w:numPr>
        <w:jc w:val="both"/>
        <w:rPr>
          <w:rFonts w:cstheme="minorHAnsi"/>
          <w:bCs/>
          <w:i/>
          <w:sz w:val="24"/>
          <w:szCs w:val="24"/>
          <w:lang w:val="en-IN"/>
        </w:rPr>
      </w:pPr>
      <w:r w:rsidRPr="005D6D6F">
        <w:rPr>
          <w:rFonts w:cstheme="minorHAnsi"/>
          <w:b/>
          <w:iCs/>
          <w:sz w:val="24"/>
          <w:szCs w:val="24"/>
          <w:lang w:val="en-IN"/>
        </w:rPr>
        <w:t>Internet access</w:t>
      </w:r>
      <w:r w:rsidRPr="005D6D6F">
        <w:rPr>
          <w:rFonts w:cstheme="minorHAnsi"/>
          <w:bCs/>
          <w:i/>
          <w:sz w:val="24"/>
          <w:szCs w:val="24"/>
          <w:lang w:val="en-IN"/>
        </w:rPr>
        <w:t xml:space="preserve"> and generative AI tools (e.g., ChatGPT) are </w:t>
      </w:r>
      <w:r w:rsidRPr="005D6D6F">
        <w:rPr>
          <w:rFonts w:cstheme="minorHAnsi"/>
          <w:b/>
          <w:iCs/>
          <w:sz w:val="24"/>
          <w:szCs w:val="24"/>
          <w:lang w:val="en-IN"/>
        </w:rPr>
        <w:t>strictly prohibited</w:t>
      </w:r>
      <w:r w:rsidRPr="005D6D6F">
        <w:rPr>
          <w:rFonts w:cstheme="minorHAnsi"/>
          <w:bCs/>
          <w:i/>
          <w:sz w:val="24"/>
          <w:szCs w:val="24"/>
          <w:lang w:val="en-IN"/>
        </w:rPr>
        <w:t>.</w:t>
      </w:r>
    </w:p>
    <w:p w14:paraId="2CBD30FE" w14:textId="69B90D53" w:rsidR="00124E36" w:rsidRPr="00DC65BD" w:rsidRDefault="005D6D6F" w:rsidP="005D6D6F">
      <w:pPr>
        <w:pStyle w:val="ListParagraph"/>
        <w:numPr>
          <w:ilvl w:val="0"/>
          <w:numId w:val="1"/>
        </w:numPr>
        <w:spacing w:after="0"/>
        <w:jc w:val="both"/>
        <w:rPr>
          <w:rFonts w:cstheme="minorHAnsi"/>
          <w:bCs/>
          <w:i/>
          <w:sz w:val="24"/>
          <w:szCs w:val="24"/>
        </w:rPr>
      </w:pPr>
      <w:r w:rsidRPr="005D6D6F">
        <w:rPr>
          <w:rFonts w:cstheme="minorHAnsi"/>
          <w:bCs/>
          <w:i/>
          <w:sz w:val="24"/>
          <w:szCs w:val="24"/>
          <w:lang w:val="en-IN"/>
        </w:rPr>
        <w:t>Ensure your answers are concise and clearly presented.</w:t>
      </w:r>
    </w:p>
    <w:p w14:paraId="710D4E0C" w14:textId="78A5087E" w:rsidR="00124E36" w:rsidRPr="00DC65BD" w:rsidRDefault="00124E36" w:rsidP="00124E36">
      <w:pPr>
        <w:pStyle w:val="ListParagraph"/>
        <w:numPr>
          <w:ilvl w:val="0"/>
          <w:numId w:val="1"/>
        </w:numPr>
        <w:pBdr>
          <w:bottom w:val="single" w:sz="6" w:space="10" w:color="auto"/>
        </w:pBdr>
        <w:spacing w:after="0"/>
        <w:jc w:val="both"/>
        <w:rPr>
          <w:rFonts w:cstheme="minorHAnsi"/>
          <w:bCs/>
          <w:i/>
          <w:sz w:val="24"/>
          <w:szCs w:val="24"/>
        </w:rPr>
      </w:pPr>
      <w:r w:rsidRPr="00DC65BD">
        <w:rPr>
          <w:rFonts w:cstheme="minorHAnsi"/>
          <w:bCs/>
          <w:i/>
          <w:sz w:val="24"/>
          <w:szCs w:val="24"/>
        </w:rPr>
        <w:t xml:space="preserve">Do not write </w:t>
      </w:r>
      <w:r w:rsidR="00556FE3">
        <w:rPr>
          <w:rFonts w:cstheme="minorHAnsi"/>
          <w:bCs/>
          <w:i/>
          <w:sz w:val="24"/>
          <w:szCs w:val="24"/>
        </w:rPr>
        <w:t xml:space="preserve">anything </w:t>
      </w:r>
      <w:r w:rsidRPr="00DC65BD">
        <w:rPr>
          <w:rFonts w:cstheme="minorHAnsi"/>
          <w:bCs/>
          <w:i/>
          <w:sz w:val="24"/>
          <w:szCs w:val="24"/>
        </w:rPr>
        <w:t>on the question paper except your roll number.</w:t>
      </w:r>
    </w:p>
    <w:p w14:paraId="638EB79C" w14:textId="77777777" w:rsidR="00294653" w:rsidRDefault="00294653" w:rsidP="00223A0D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</w:p>
    <w:p w14:paraId="3FB55A0F" w14:textId="5CA2658B" w:rsidR="00BF3C21" w:rsidRPr="00BF3C21" w:rsidRDefault="00FB2AB0" w:rsidP="00D51EC3">
      <w:pPr>
        <w:jc w:val="both"/>
        <w:rPr>
          <w:rFonts w:eastAsia="Times New Roman" w:cstheme="minorHAnsi"/>
          <w:bCs/>
          <w:sz w:val="24"/>
          <w:szCs w:val="24"/>
          <w:lang w:val="en-IN"/>
        </w:rPr>
      </w:pPr>
      <w:r w:rsidRPr="004850EF">
        <w:rPr>
          <w:rFonts w:eastAsia="Times New Roman" w:cstheme="minorHAnsi"/>
          <w:bCs/>
          <w:sz w:val="24"/>
          <w:szCs w:val="24"/>
        </w:rPr>
        <w:t xml:space="preserve">Q1) </w:t>
      </w:r>
      <w:r w:rsidR="00BF3C21" w:rsidRPr="00BF3C21">
        <w:rPr>
          <w:rFonts w:eastAsia="Times New Roman" w:cstheme="minorHAnsi"/>
          <w:bCs/>
          <w:sz w:val="24"/>
          <w:szCs w:val="24"/>
          <w:lang w:val="en-IN"/>
        </w:rPr>
        <w:t xml:space="preserve">In the post-COVID period, India witnessed strong credit growth in housing finance, NBFC lending, commercial real estate (CRE), and retail-focused fintech platforms, </w:t>
      </w:r>
      <w:r w:rsidR="00BF3C21" w:rsidRPr="004850EF">
        <w:rPr>
          <w:rFonts w:eastAsia="Times New Roman" w:cstheme="minorHAnsi"/>
          <w:bCs/>
          <w:sz w:val="24"/>
          <w:szCs w:val="24"/>
          <w:lang w:val="en-IN"/>
        </w:rPr>
        <w:t>initially supported by accommodative monetary policy but</w:t>
      </w:r>
      <w:r w:rsidR="00BF3C21" w:rsidRPr="00BF3C21">
        <w:rPr>
          <w:rFonts w:eastAsia="Times New Roman" w:cstheme="minorHAnsi"/>
          <w:bCs/>
          <w:sz w:val="24"/>
          <w:szCs w:val="24"/>
          <w:lang w:val="en-IN"/>
        </w:rPr>
        <w:t xml:space="preserve"> later challenged by sharp policy rate hikes after 2022.</w:t>
      </w:r>
    </w:p>
    <w:p w14:paraId="2B4CBB55" w14:textId="77777777" w:rsidR="00BF3C21" w:rsidRPr="00BF3C21" w:rsidRDefault="00BF3C21" w:rsidP="00D51EC3">
      <w:pPr>
        <w:jc w:val="both"/>
        <w:rPr>
          <w:rFonts w:eastAsia="Times New Roman" w:cstheme="minorHAnsi"/>
          <w:bCs/>
          <w:sz w:val="24"/>
          <w:szCs w:val="24"/>
          <w:lang w:val="en-IN"/>
        </w:rPr>
      </w:pPr>
      <w:r w:rsidRPr="00BF3C21">
        <w:rPr>
          <w:rFonts w:eastAsia="Times New Roman" w:cstheme="minorHAnsi"/>
          <w:bCs/>
          <w:sz w:val="24"/>
          <w:szCs w:val="24"/>
          <w:lang w:val="en-IN"/>
        </w:rPr>
        <w:t>To improve borrower affordability and accelerate loan disbursement, several lenders introduced flexible repayment structures, including:</w:t>
      </w:r>
    </w:p>
    <w:p w14:paraId="39BB631A" w14:textId="77777777" w:rsidR="00BF3C21" w:rsidRPr="00BF3C21" w:rsidRDefault="00BF3C21" w:rsidP="00D51EC3">
      <w:pPr>
        <w:numPr>
          <w:ilvl w:val="0"/>
          <w:numId w:val="9"/>
        </w:numPr>
        <w:jc w:val="both"/>
        <w:rPr>
          <w:rFonts w:eastAsia="Times New Roman" w:cstheme="minorHAnsi"/>
          <w:bCs/>
          <w:sz w:val="24"/>
          <w:szCs w:val="24"/>
          <w:lang w:val="en-IN"/>
        </w:rPr>
      </w:pPr>
      <w:r w:rsidRPr="00BF3C21">
        <w:rPr>
          <w:rFonts w:eastAsia="Times New Roman" w:cstheme="minorHAnsi"/>
          <w:bCs/>
          <w:sz w:val="24"/>
          <w:szCs w:val="24"/>
          <w:lang w:val="en-IN"/>
        </w:rPr>
        <w:t>Interest-only or step-up EMIs,</w:t>
      </w:r>
    </w:p>
    <w:p w14:paraId="64D5B143" w14:textId="77777777" w:rsidR="00BF3C21" w:rsidRPr="00BF3C21" w:rsidRDefault="00BF3C21" w:rsidP="00D51EC3">
      <w:pPr>
        <w:numPr>
          <w:ilvl w:val="0"/>
          <w:numId w:val="9"/>
        </w:numPr>
        <w:jc w:val="both"/>
        <w:rPr>
          <w:rFonts w:eastAsia="Times New Roman" w:cstheme="minorHAnsi"/>
          <w:bCs/>
          <w:sz w:val="24"/>
          <w:szCs w:val="24"/>
          <w:lang w:val="en-IN"/>
        </w:rPr>
      </w:pPr>
      <w:r w:rsidRPr="00BF3C21">
        <w:rPr>
          <w:rFonts w:eastAsia="Times New Roman" w:cstheme="minorHAnsi"/>
          <w:bCs/>
          <w:sz w:val="24"/>
          <w:szCs w:val="24"/>
          <w:lang w:val="en-IN"/>
        </w:rPr>
        <w:t>Moratorium-linked repayment resets, and</w:t>
      </w:r>
    </w:p>
    <w:p w14:paraId="74FE48DA" w14:textId="5D1E6853" w:rsidR="00BF3C21" w:rsidRPr="00BF3C21" w:rsidRDefault="00BF3C21" w:rsidP="00D51EC3">
      <w:pPr>
        <w:numPr>
          <w:ilvl w:val="0"/>
          <w:numId w:val="9"/>
        </w:numPr>
        <w:jc w:val="both"/>
        <w:rPr>
          <w:rFonts w:eastAsia="Times New Roman" w:cstheme="minorHAnsi"/>
          <w:bCs/>
          <w:sz w:val="24"/>
          <w:szCs w:val="24"/>
          <w:lang w:val="en-IN"/>
        </w:rPr>
      </w:pPr>
      <w:r w:rsidRPr="00BF3C21">
        <w:rPr>
          <w:rFonts w:eastAsia="Times New Roman" w:cstheme="minorHAnsi"/>
          <w:bCs/>
          <w:sz w:val="24"/>
          <w:szCs w:val="24"/>
          <w:lang w:val="en-IN"/>
        </w:rPr>
        <w:t>Deferred interest components, particularly in housing loans and commercial real estate financing</w:t>
      </w:r>
    </w:p>
    <w:p w14:paraId="0BF6849A" w14:textId="3C1BE631" w:rsidR="00D51EC3" w:rsidRPr="004850EF" w:rsidRDefault="00BF3C21" w:rsidP="00D51EC3">
      <w:pPr>
        <w:spacing w:after="0"/>
        <w:jc w:val="both"/>
        <w:rPr>
          <w:rFonts w:eastAsia="Times New Roman" w:cstheme="minorHAnsi"/>
          <w:b/>
          <w:i/>
          <w:iCs/>
          <w:sz w:val="24"/>
          <w:szCs w:val="24"/>
        </w:rPr>
      </w:pPr>
      <w:r w:rsidRPr="00BF3C21">
        <w:rPr>
          <w:rFonts w:eastAsia="Times New Roman" w:cstheme="minorHAnsi"/>
          <w:bCs/>
          <w:sz w:val="24"/>
          <w:szCs w:val="24"/>
          <w:lang w:val="en-IN"/>
        </w:rPr>
        <w:t xml:space="preserve">In some cases, borrowers’ initial payments were insufficient </w:t>
      </w:r>
      <w:r w:rsidRPr="004850EF">
        <w:rPr>
          <w:rFonts w:eastAsia="Times New Roman" w:cstheme="minorHAnsi"/>
          <w:bCs/>
          <w:sz w:val="24"/>
          <w:szCs w:val="24"/>
          <w:lang w:val="en-IN"/>
        </w:rPr>
        <w:t>to cover accrued interest</w:t>
      </w:r>
      <w:r w:rsidR="004850EF">
        <w:rPr>
          <w:rFonts w:eastAsia="Times New Roman" w:cstheme="minorHAnsi"/>
          <w:bCs/>
          <w:sz w:val="24"/>
          <w:szCs w:val="24"/>
          <w:lang w:val="en-IN"/>
        </w:rPr>
        <w:t xml:space="preserve">, leading to the </w:t>
      </w:r>
      <w:r w:rsidRPr="004850EF">
        <w:rPr>
          <w:rFonts w:eastAsia="Times New Roman" w:cstheme="minorHAnsi"/>
          <w:bCs/>
          <w:sz w:val="24"/>
          <w:szCs w:val="24"/>
          <w:lang w:val="en-IN"/>
        </w:rPr>
        <w:t>capitalisation of unpaid interest into the outstanding loan balance—a form of negative amortisation</w:t>
      </w:r>
      <w:r w:rsidRPr="00BF3C21">
        <w:rPr>
          <w:rFonts w:eastAsia="Times New Roman" w:cstheme="minorHAnsi"/>
          <w:bCs/>
          <w:sz w:val="24"/>
          <w:szCs w:val="24"/>
          <w:lang w:val="en-IN"/>
        </w:rPr>
        <w:t>, even in the absence of immediate payment default.</w:t>
      </w:r>
      <w:r w:rsidR="00D51EC3">
        <w:rPr>
          <w:rFonts w:eastAsia="Times New Roman" w:cstheme="minorHAnsi"/>
          <w:bCs/>
          <w:sz w:val="24"/>
          <w:szCs w:val="24"/>
          <w:lang w:val="en-IN"/>
        </w:rPr>
        <w:t xml:space="preserve"> </w:t>
      </w:r>
      <w:r w:rsidRPr="00BF3C21">
        <w:rPr>
          <w:rFonts w:eastAsia="Times New Roman" w:cstheme="minorHAnsi"/>
          <w:bCs/>
          <w:sz w:val="24"/>
          <w:szCs w:val="24"/>
          <w:lang w:val="en-IN"/>
        </w:rPr>
        <w:t xml:space="preserve">Portfolios containing such loans were subsequently </w:t>
      </w:r>
      <w:r w:rsidR="004850EF">
        <w:rPr>
          <w:rFonts w:eastAsia="Times New Roman" w:cstheme="minorHAnsi"/>
          <w:bCs/>
          <w:sz w:val="24"/>
          <w:szCs w:val="24"/>
          <w:lang w:val="en-IN"/>
        </w:rPr>
        <w:t>securitised</w:t>
      </w:r>
      <w:r w:rsidRPr="00BF3C21">
        <w:rPr>
          <w:rFonts w:eastAsia="Times New Roman" w:cstheme="minorHAnsi"/>
          <w:bCs/>
          <w:sz w:val="24"/>
          <w:szCs w:val="24"/>
          <w:lang w:val="en-IN"/>
        </w:rPr>
        <w:t xml:space="preserve"> or transferred to investors through pass-through certificates (PTCs), structured debt instruments, REIT-linked exposures, and private credit funds, often marketed as higher-yield fixed-income alternatives. As borrowing costs increased and cash flows in certain real estate segments weakened, stress began to surface in selected loan pools.</w:t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D51EC3">
        <w:rPr>
          <w:rFonts w:eastAsia="Times New Roman" w:cstheme="minorHAnsi"/>
          <w:bCs/>
          <w:sz w:val="24"/>
          <w:szCs w:val="24"/>
          <w:lang w:val="en-IN"/>
        </w:rPr>
        <w:tab/>
      </w:r>
      <w:r w:rsidR="009E2728">
        <w:rPr>
          <w:rFonts w:eastAsia="Times New Roman" w:cstheme="minorHAnsi"/>
          <w:bCs/>
          <w:sz w:val="24"/>
          <w:szCs w:val="24"/>
          <w:lang w:val="en-IN"/>
        </w:rPr>
        <w:t xml:space="preserve">       </w:t>
      </w:r>
    </w:p>
    <w:p w14:paraId="11F4D598" w14:textId="0B49C46A" w:rsidR="00BF3C21" w:rsidRPr="00BF3C21" w:rsidRDefault="00BF3C21" w:rsidP="00D51EC3">
      <w:pPr>
        <w:jc w:val="both"/>
        <w:rPr>
          <w:rFonts w:eastAsia="Times New Roman" w:cstheme="minorHAnsi"/>
          <w:bCs/>
          <w:sz w:val="24"/>
          <w:szCs w:val="24"/>
          <w:lang w:val="en-IN"/>
        </w:rPr>
      </w:pPr>
    </w:p>
    <w:p w14:paraId="2C675A4D" w14:textId="44082EC1" w:rsidR="00FB2AB0" w:rsidRPr="004850EF" w:rsidRDefault="00BB41E3" w:rsidP="00BF3C21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  <w:r w:rsidRPr="004850EF">
        <w:rPr>
          <w:rFonts w:eastAsia="Times New Roman" w:cstheme="minorHAnsi"/>
          <w:b/>
          <w:bCs/>
          <w:sz w:val="24"/>
          <w:szCs w:val="24"/>
          <w:lang w:val="en-IN"/>
        </w:rPr>
        <w:lastRenderedPageBreak/>
        <w:t>Questions:</w:t>
      </w:r>
    </w:p>
    <w:p w14:paraId="40B9E38B" w14:textId="2FB200FC" w:rsidR="004850EF" w:rsidRDefault="00BF3C21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BF3C21">
        <w:rPr>
          <w:rFonts w:eastAsia="Times New Roman" w:cstheme="minorHAnsi"/>
          <w:sz w:val="24"/>
          <w:szCs w:val="24"/>
          <w:lang w:val="en-IN"/>
        </w:rPr>
        <w:t xml:space="preserve">a) </w:t>
      </w:r>
      <w:r w:rsidRPr="00BF3C21">
        <w:rPr>
          <w:rFonts w:eastAsia="Times New Roman" w:cstheme="minorHAnsi"/>
          <w:i/>
          <w:iCs/>
          <w:sz w:val="24"/>
          <w:szCs w:val="24"/>
          <w:lang w:val="en-IN"/>
        </w:rPr>
        <w:t>Explain</w:t>
      </w:r>
      <w:r w:rsidRPr="00BF3C21">
        <w:rPr>
          <w:rFonts w:eastAsia="Times New Roman" w:cstheme="minorHAnsi"/>
          <w:sz w:val="24"/>
          <w:szCs w:val="24"/>
          <w:lang w:val="en-IN"/>
        </w:rPr>
        <w:t xml:space="preserve"> how negative </w:t>
      </w:r>
      <w:r w:rsidRPr="004850EF">
        <w:rPr>
          <w:rFonts w:eastAsia="Times New Roman" w:cstheme="minorHAnsi"/>
          <w:sz w:val="24"/>
          <w:szCs w:val="24"/>
          <w:lang w:val="en-IN"/>
        </w:rPr>
        <w:t>amortisation</w:t>
      </w:r>
      <w:r w:rsidRPr="00BF3C21">
        <w:rPr>
          <w:rFonts w:eastAsia="Times New Roman" w:cstheme="minorHAnsi"/>
          <w:sz w:val="24"/>
          <w:szCs w:val="24"/>
          <w:lang w:val="en-IN"/>
        </w:rPr>
        <w:t xml:space="preserve"> can arise in the Indian loan structures described above, despite borrowers continuing to service their loans.</w:t>
      </w:r>
      <w:r w:rsidR="004850EF">
        <w:rPr>
          <w:rFonts w:eastAsia="Times New Roman" w:cstheme="minorHAnsi"/>
          <w:sz w:val="24"/>
          <w:szCs w:val="24"/>
          <w:lang w:val="en-IN"/>
        </w:rPr>
        <w:t xml:space="preserve"> </w:t>
      </w:r>
      <w:r w:rsidRPr="00BF3C21">
        <w:rPr>
          <w:rFonts w:eastAsia="Times New Roman" w:cstheme="minorHAnsi"/>
          <w:sz w:val="24"/>
          <w:szCs w:val="24"/>
          <w:lang w:val="en-IN"/>
        </w:rPr>
        <w:t xml:space="preserve">Briefly </w:t>
      </w:r>
      <w:r w:rsidR="00BB41E3" w:rsidRPr="004850EF">
        <w:rPr>
          <w:rFonts w:eastAsia="Times New Roman" w:cstheme="minorHAnsi"/>
          <w:i/>
          <w:iCs/>
          <w:sz w:val="24"/>
          <w:szCs w:val="24"/>
          <w:lang w:val="en-IN"/>
        </w:rPr>
        <w:t>determine</w:t>
      </w:r>
      <w:r w:rsidRPr="00BF3C21">
        <w:rPr>
          <w:rFonts w:eastAsia="Times New Roman" w:cstheme="minorHAnsi"/>
          <w:sz w:val="24"/>
          <w:szCs w:val="24"/>
          <w:lang w:val="en-IN"/>
        </w:rPr>
        <w:t xml:space="preserve"> its impact on borrower leverage and outstanding principal over time</w:t>
      </w:r>
      <w:r w:rsidR="00EF7AE1">
        <w:rPr>
          <w:rFonts w:eastAsia="Times New Roman" w:cstheme="minorHAnsi"/>
          <w:sz w:val="24"/>
          <w:szCs w:val="24"/>
          <w:lang w:val="en-IN"/>
        </w:rPr>
        <w:t xml:space="preserve"> with the help of an example</w:t>
      </w:r>
      <w:r w:rsidRPr="00BF3C21">
        <w:rPr>
          <w:rFonts w:eastAsia="Times New Roman" w:cstheme="minorHAnsi"/>
          <w:sz w:val="24"/>
          <w:szCs w:val="24"/>
          <w:lang w:val="en-IN"/>
        </w:rPr>
        <w:t>.</w:t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4850EF" w:rsidRPr="00FC1936">
        <w:rPr>
          <w:rFonts w:eastAsia="Times New Roman" w:cstheme="minorHAnsi"/>
          <w:b/>
          <w:bCs/>
          <w:sz w:val="24"/>
          <w:szCs w:val="24"/>
          <w:lang w:val="en-IN"/>
        </w:rPr>
        <w:t>(3 Marks)</w:t>
      </w:r>
    </w:p>
    <w:p w14:paraId="4F242854" w14:textId="38EDCB24" w:rsidR="00D51EC3" w:rsidRDefault="00BF3C21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BF3C21">
        <w:rPr>
          <w:rFonts w:eastAsia="Times New Roman" w:cstheme="minorHAnsi"/>
          <w:sz w:val="24"/>
          <w:szCs w:val="24"/>
          <w:lang w:val="en-IN"/>
        </w:rPr>
        <w:t xml:space="preserve">b) From the perspective of a fixed-income investor or risk manager in India, </w:t>
      </w:r>
      <w:r w:rsidRPr="00BF3C21">
        <w:rPr>
          <w:rFonts w:eastAsia="Times New Roman" w:cstheme="minorHAnsi"/>
          <w:i/>
          <w:iCs/>
          <w:sz w:val="24"/>
          <w:szCs w:val="24"/>
          <w:lang w:val="en-IN"/>
        </w:rPr>
        <w:t>evaluate</w:t>
      </w:r>
      <w:r w:rsidRPr="00BF3C21">
        <w:rPr>
          <w:rFonts w:eastAsia="Times New Roman" w:cstheme="minorHAnsi"/>
          <w:sz w:val="24"/>
          <w:szCs w:val="24"/>
          <w:lang w:val="en-IN"/>
        </w:rPr>
        <w:t xml:space="preserve"> two key risks that may be underestimated when investing in such </w:t>
      </w:r>
      <w:r w:rsidRPr="004850EF">
        <w:rPr>
          <w:rFonts w:eastAsia="Times New Roman" w:cstheme="minorHAnsi"/>
          <w:sz w:val="24"/>
          <w:szCs w:val="24"/>
          <w:lang w:val="en-IN"/>
        </w:rPr>
        <w:t>securitised</w:t>
      </w:r>
      <w:r w:rsidRPr="00BF3C21">
        <w:rPr>
          <w:rFonts w:eastAsia="Times New Roman" w:cstheme="minorHAnsi"/>
          <w:sz w:val="24"/>
          <w:szCs w:val="24"/>
          <w:lang w:val="en-IN"/>
        </w:rPr>
        <w:t xml:space="preserve"> or structured credit instruments in a rising interest rate environment.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</w:t>
      </w:r>
      <w:r w:rsidRPr="00BF3C21">
        <w:rPr>
          <w:rFonts w:eastAsia="Times New Roman" w:cstheme="minorHAnsi"/>
          <w:sz w:val="24"/>
          <w:szCs w:val="24"/>
          <w:lang w:val="en-IN"/>
        </w:rPr>
        <w:t>Your answer should clearly link loan design features to credit risk, valuation risk, or systemic risk.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</w:t>
      </w:r>
      <w:r w:rsidR="00EF7AE1">
        <w:rPr>
          <w:rFonts w:eastAsia="Times New Roman" w:cstheme="minorHAnsi"/>
          <w:sz w:val="24"/>
          <w:szCs w:val="24"/>
          <w:lang w:val="en-IN"/>
        </w:rPr>
        <w:t>Support the explanation with the help of a block diagram.</w:t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="00EF7AE1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>(</w:t>
      </w:r>
      <w:r w:rsidR="00EF7AE1" w:rsidRPr="00FC1936">
        <w:rPr>
          <w:rFonts w:eastAsia="Times New Roman" w:cstheme="minorHAnsi"/>
          <w:b/>
          <w:bCs/>
          <w:sz w:val="24"/>
          <w:szCs w:val="24"/>
          <w:lang w:val="en-IN"/>
        </w:rPr>
        <w:t>4</w:t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 xml:space="preserve"> Marks)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   </w:t>
      </w:r>
    </w:p>
    <w:p w14:paraId="4B24E927" w14:textId="77777777" w:rsidR="00F146FD" w:rsidRDefault="00BB41E3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4850EF">
        <w:rPr>
          <w:rFonts w:eastAsia="Times New Roman" w:cstheme="minorHAnsi"/>
          <w:sz w:val="24"/>
          <w:szCs w:val="24"/>
          <w:lang w:val="en-IN"/>
        </w:rPr>
        <w:t xml:space="preserve"> </w:t>
      </w:r>
    </w:p>
    <w:p w14:paraId="56FA66DF" w14:textId="66B0D072" w:rsidR="00D51EC3" w:rsidRPr="004850EF" w:rsidRDefault="00BB41E3" w:rsidP="00D51EC3">
      <w:pPr>
        <w:jc w:val="both"/>
        <w:rPr>
          <w:rFonts w:eastAsia="Times New Roman" w:cstheme="minorHAnsi"/>
          <w:b/>
          <w:bCs/>
          <w:i/>
          <w:iCs/>
          <w:sz w:val="24"/>
          <w:szCs w:val="24"/>
          <w:lang w:val="en-IN"/>
        </w:rPr>
      </w:pPr>
      <w:r w:rsidRPr="004850EF">
        <w:rPr>
          <w:rFonts w:eastAsia="Times New Roman" w:cstheme="minorHAnsi"/>
          <w:sz w:val="24"/>
          <w:szCs w:val="24"/>
          <w:lang w:val="en-IN"/>
        </w:rPr>
        <w:t xml:space="preserve">Q2) </w:t>
      </w:r>
      <w:r w:rsidRPr="00BB41E3">
        <w:rPr>
          <w:rFonts w:eastAsia="Times New Roman" w:cstheme="minorHAnsi"/>
          <w:sz w:val="24"/>
          <w:szCs w:val="24"/>
          <w:lang w:val="en-IN"/>
        </w:rPr>
        <w:t xml:space="preserve">A company expects to borrow ₹50 crores </w:t>
      </w:r>
      <w:r w:rsidRPr="004850EF">
        <w:rPr>
          <w:rFonts w:eastAsia="Times New Roman" w:cstheme="minorHAnsi"/>
          <w:sz w:val="24"/>
          <w:szCs w:val="24"/>
          <w:lang w:val="en-IN"/>
        </w:rPr>
        <w:t>for 6 months, after 3</w:t>
      </w:r>
      <w:r w:rsidRPr="00BB41E3">
        <w:rPr>
          <w:rFonts w:eastAsia="Times New Roman" w:cstheme="minorHAnsi"/>
          <w:sz w:val="24"/>
          <w:szCs w:val="24"/>
          <w:lang w:val="en-IN"/>
        </w:rPr>
        <w:t xml:space="preserve"> months.</w:t>
      </w:r>
      <w:r w:rsidRPr="00BB41E3">
        <w:rPr>
          <w:rFonts w:eastAsia="Times New Roman" w:cstheme="minorHAnsi"/>
          <w:sz w:val="24"/>
          <w:szCs w:val="24"/>
          <w:lang w:val="en-IN"/>
        </w:rPr>
        <w:br/>
        <w:t>The borrowing rate will be 6-month MIBOR + 40 basis points.</w:t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9E2728">
        <w:rPr>
          <w:rFonts w:eastAsia="Times New Roman" w:cstheme="minorHAnsi"/>
          <w:sz w:val="24"/>
          <w:szCs w:val="24"/>
          <w:lang w:val="en-IN"/>
        </w:rPr>
        <w:t xml:space="preserve">       </w:t>
      </w:r>
    </w:p>
    <w:p w14:paraId="07BDFC4F" w14:textId="7437832B" w:rsidR="00BB41E3" w:rsidRPr="00BB41E3" w:rsidRDefault="00BB41E3" w:rsidP="00D51EC3">
      <w:pPr>
        <w:numPr>
          <w:ilvl w:val="0"/>
          <w:numId w:val="13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BB41E3">
        <w:rPr>
          <w:rFonts w:eastAsia="Times New Roman" w:cstheme="minorHAnsi"/>
          <w:sz w:val="24"/>
          <w:szCs w:val="24"/>
          <w:lang w:val="en-IN"/>
        </w:rPr>
        <w:t>Current 3×9 FRA rate: 6.20% p.a.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</w:t>
      </w:r>
      <w:r w:rsidRPr="004850EF">
        <w:rPr>
          <w:rFonts w:eastAsia="Times New Roman" w:cstheme="minorHAnsi"/>
          <w:b/>
          <w:bCs/>
          <w:sz w:val="24"/>
          <w:szCs w:val="24"/>
          <w:lang w:val="en-IN"/>
        </w:rPr>
        <w:t>and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Current 6</w:t>
      </w:r>
      <w:r w:rsidRPr="00BB41E3">
        <w:rPr>
          <w:rFonts w:eastAsia="Times New Roman" w:cstheme="minorHAnsi"/>
          <w:sz w:val="24"/>
          <w:szCs w:val="24"/>
          <w:lang w:val="en-IN"/>
        </w:rPr>
        <w:t>×</w:t>
      </w:r>
      <w:r w:rsidR="000A0208">
        <w:rPr>
          <w:rFonts w:eastAsia="Times New Roman" w:cstheme="minorHAnsi"/>
          <w:sz w:val="24"/>
          <w:szCs w:val="24"/>
          <w:lang w:val="en-IN"/>
        </w:rPr>
        <w:t>9</w:t>
      </w:r>
      <w:r w:rsidRPr="00BB41E3">
        <w:rPr>
          <w:rFonts w:eastAsia="Times New Roman" w:cstheme="minorHAnsi"/>
          <w:sz w:val="24"/>
          <w:szCs w:val="24"/>
          <w:lang w:val="en-IN"/>
        </w:rPr>
        <w:t xml:space="preserve"> FRA rate: 6.</w:t>
      </w:r>
      <w:r w:rsidRPr="004850EF">
        <w:rPr>
          <w:rFonts w:eastAsia="Times New Roman" w:cstheme="minorHAnsi"/>
          <w:sz w:val="24"/>
          <w:szCs w:val="24"/>
          <w:lang w:val="en-IN"/>
        </w:rPr>
        <w:t>3</w:t>
      </w:r>
      <w:r w:rsidRPr="00BB41E3">
        <w:rPr>
          <w:rFonts w:eastAsia="Times New Roman" w:cstheme="minorHAnsi"/>
          <w:sz w:val="24"/>
          <w:szCs w:val="24"/>
          <w:lang w:val="en-IN"/>
        </w:rPr>
        <w:t>0% p.a</w:t>
      </w:r>
      <w:r w:rsidRPr="004850EF">
        <w:rPr>
          <w:rFonts w:eastAsia="Times New Roman" w:cstheme="minorHAnsi"/>
          <w:sz w:val="24"/>
          <w:szCs w:val="24"/>
          <w:lang w:val="en-IN"/>
        </w:rPr>
        <w:t>.</w:t>
      </w:r>
    </w:p>
    <w:p w14:paraId="1E85149B" w14:textId="77777777" w:rsidR="00BB41E3" w:rsidRPr="00BB41E3" w:rsidRDefault="00BB41E3" w:rsidP="00D51EC3">
      <w:pPr>
        <w:numPr>
          <w:ilvl w:val="0"/>
          <w:numId w:val="13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BB41E3">
        <w:rPr>
          <w:rFonts w:eastAsia="Times New Roman" w:cstheme="minorHAnsi"/>
          <w:sz w:val="24"/>
          <w:szCs w:val="24"/>
          <w:lang w:val="en-IN"/>
        </w:rPr>
        <w:t>Actual 6-month MIBOR after 3 months turns out to be 6.80% p.a.</w:t>
      </w:r>
    </w:p>
    <w:p w14:paraId="19812C91" w14:textId="0C536F3B" w:rsidR="00BB41E3" w:rsidRPr="004850EF" w:rsidRDefault="00BB41E3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BB41E3">
        <w:rPr>
          <w:rFonts w:eastAsia="Times New Roman" w:cstheme="minorHAnsi"/>
          <w:sz w:val="24"/>
          <w:szCs w:val="24"/>
          <w:lang w:val="en-IN"/>
        </w:rPr>
        <w:t xml:space="preserve">a) </w:t>
      </w:r>
      <w:r w:rsidRPr="004850EF">
        <w:rPr>
          <w:rFonts w:eastAsia="Times New Roman" w:cstheme="minorHAnsi"/>
          <w:i/>
          <w:iCs/>
          <w:sz w:val="24"/>
          <w:szCs w:val="24"/>
          <w:lang w:val="en-IN"/>
        </w:rPr>
        <w:t>Recommend</w:t>
      </w:r>
      <w:r w:rsidRPr="00BB41E3">
        <w:rPr>
          <w:rFonts w:eastAsia="Times New Roman" w:cstheme="minorHAnsi"/>
          <w:sz w:val="24"/>
          <w:szCs w:val="24"/>
          <w:lang w:val="en-IN"/>
        </w:rPr>
        <w:t xml:space="preserve"> whether the company should take a long or short position in the FRA.</w:t>
      </w:r>
      <w:r w:rsidRPr="00BB41E3">
        <w:rPr>
          <w:rFonts w:eastAsia="Times New Roman" w:cstheme="minorHAnsi"/>
          <w:sz w:val="24"/>
          <w:szCs w:val="24"/>
          <w:lang w:val="en-IN"/>
        </w:rPr>
        <w:br/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b) </w:t>
      </w:r>
      <w:r w:rsidRPr="004850EF">
        <w:rPr>
          <w:rFonts w:eastAsia="Times New Roman" w:cstheme="minorHAnsi"/>
          <w:i/>
          <w:iCs/>
          <w:sz w:val="24"/>
          <w:szCs w:val="24"/>
          <w:lang w:val="en-IN"/>
        </w:rPr>
        <w:t>Estimate</w:t>
      </w:r>
      <w:r w:rsidRPr="00BB41E3">
        <w:rPr>
          <w:rFonts w:eastAsia="Times New Roman" w:cstheme="minorHAnsi"/>
          <w:sz w:val="24"/>
          <w:szCs w:val="24"/>
          <w:lang w:val="en-IN"/>
        </w:rPr>
        <w:t xml:space="preserve"> the gain or loss on the FRA.</w:t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F146FD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="00D51EC3" w:rsidRPr="00FC1936">
        <w:rPr>
          <w:rFonts w:eastAsia="Times New Roman" w:cstheme="minorHAnsi"/>
          <w:b/>
          <w:bCs/>
          <w:sz w:val="24"/>
          <w:szCs w:val="24"/>
          <w:lang w:val="en-IN"/>
        </w:rPr>
        <w:t>(</w:t>
      </w:r>
      <w:r w:rsidR="00EF7AE1" w:rsidRPr="00FC1936">
        <w:rPr>
          <w:rFonts w:eastAsia="Times New Roman" w:cstheme="minorHAnsi"/>
          <w:b/>
          <w:bCs/>
          <w:sz w:val="24"/>
          <w:szCs w:val="24"/>
          <w:lang w:val="en-IN"/>
        </w:rPr>
        <w:t>6</w:t>
      </w:r>
      <w:r w:rsidR="00F146FD" w:rsidRPr="00FC1936">
        <w:rPr>
          <w:rFonts w:eastAsia="Times New Roman" w:cstheme="minorHAnsi"/>
          <w:b/>
          <w:bCs/>
          <w:sz w:val="24"/>
          <w:szCs w:val="24"/>
          <w:lang w:val="en-IN"/>
        </w:rPr>
        <w:t xml:space="preserve"> Marks</w:t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>)</w:t>
      </w:r>
    </w:p>
    <w:p w14:paraId="234E3B3F" w14:textId="77777777" w:rsidR="00D51EC3" w:rsidRDefault="00D51EC3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</w:p>
    <w:p w14:paraId="380B73E4" w14:textId="67901520" w:rsidR="00D51EC3" w:rsidRPr="004850EF" w:rsidRDefault="00BB41E3" w:rsidP="00D51EC3">
      <w:pPr>
        <w:jc w:val="both"/>
        <w:rPr>
          <w:rFonts w:eastAsia="Times New Roman" w:cstheme="minorHAnsi"/>
          <w:b/>
          <w:bCs/>
          <w:i/>
          <w:iCs/>
          <w:sz w:val="24"/>
          <w:szCs w:val="24"/>
          <w:lang w:val="en-IN"/>
        </w:rPr>
      </w:pPr>
      <w:r w:rsidRPr="004850EF">
        <w:rPr>
          <w:rFonts w:eastAsia="Times New Roman" w:cstheme="minorHAnsi"/>
          <w:sz w:val="24"/>
          <w:szCs w:val="24"/>
          <w:lang w:val="en-IN"/>
        </w:rPr>
        <w:t>Q3)</w:t>
      </w:r>
      <w:r w:rsidR="00A1013B" w:rsidRPr="004850EF">
        <w:rPr>
          <w:rFonts w:eastAsia="Times New Roman" w:cstheme="minorHAnsi"/>
          <w:sz w:val="24"/>
          <w:szCs w:val="24"/>
          <w:lang w:val="en-IN"/>
        </w:rPr>
        <w:t xml:space="preserve"> In 2026, India is experiencing moderating inflation and declining interest rates, supported by stable macroeconomic conditions. Anticipating further yield softening, an institutional investor is reviewing options to reposition a fixed-income portfolio.</w:t>
      </w:r>
      <w:r w:rsidR="00D51EC3">
        <w:rPr>
          <w:rFonts w:eastAsia="Times New Roman" w:cstheme="minorHAnsi"/>
          <w:sz w:val="24"/>
          <w:szCs w:val="24"/>
          <w:lang w:val="en-IN"/>
        </w:rPr>
        <w:t xml:space="preserve"> </w:t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9E2728">
        <w:rPr>
          <w:rFonts w:eastAsia="Times New Roman" w:cstheme="minorHAnsi"/>
          <w:sz w:val="24"/>
          <w:szCs w:val="24"/>
          <w:lang w:val="en-IN"/>
        </w:rPr>
        <w:t xml:space="preserve">       </w:t>
      </w:r>
    </w:p>
    <w:p w14:paraId="52269E77" w14:textId="77777777" w:rsidR="00A1013B" w:rsidRPr="00A1013B" w:rsidRDefault="00A1013B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A1013B">
        <w:rPr>
          <w:rFonts w:eastAsia="Times New Roman" w:cstheme="minorHAnsi"/>
          <w:sz w:val="24"/>
          <w:szCs w:val="24"/>
          <w:lang w:val="en-IN"/>
        </w:rPr>
        <w:t>The following three bonds are under consideration: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2153"/>
        <w:gridCol w:w="962"/>
        <w:gridCol w:w="852"/>
        <w:gridCol w:w="1945"/>
      </w:tblGrid>
      <w:tr w:rsidR="00A1013B" w:rsidRPr="00A1013B" w14:paraId="3F02D1DF" w14:textId="77777777" w:rsidTr="00A1013B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E9A2DA6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Instrument</w:t>
            </w:r>
          </w:p>
        </w:tc>
        <w:tc>
          <w:tcPr>
            <w:tcW w:w="0" w:type="auto"/>
            <w:vAlign w:val="center"/>
            <w:hideMark/>
          </w:tcPr>
          <w:p w14:paraId="6BD5FACA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0B030E26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Maturity</w:t>
            </w:r>
          </w:p>
        </w:tc>
        <w:tc>
          <w:tcPr>
            <w:tcW w:w="0" w:type="auto"/>
            <w:vAlign w:val="center"/>
            <w:hideMark/>
          </w:tcPr>
          <w:p w14:paraId="0F42778A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Coupon</w:t>
            </w:r>
          </w:p>
        </w:tc>
        <w:tc>
          <w:tcPr>
            <w:tcW w:w="0" w:type="auto"/>
            <w:vAlign w:val="center"/>
            <w:hideMark/>
          </w:tcPr>
          <w:p w14:paraId="03F0914C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Modified Duration</w:t>
            </w:r>
          </w:p>
        </w:tc>
      </w:tr>
      <w:tr w:rsidR="00A1013B" w:rsidRPr="00A1013B" w14:paraId="70C22AD0" w14:textId="77777777" w:rsidTr="00A1013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3A39DE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Bond A</w:t>
            </w:r>
          </w:p>
        </w:tc>
        <w:tc>
          <w:tcPr>
            <w:tcW w:w="0" w:type="auto"/>
            <w:vAlign w:val="center"/>
            <w:hideMark/>
          </w:tcPr>
          <w:p w14:paraId="56CADC07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Government Security</w:t>
            </w:r>
          </w:p>
        </w:tc>
        <w:tc>
          <w:tcPr>
            <w:tcW w:w="0" w:type="auto"/>
            <w:vAlign w:val="center"/>
            <w:hideMark/>
          </w:tcPr>
          <w:p w14:paraId="3F67E557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10 years</w:t>
            </w:r>
          </w:p>
        </w:tc>
        <w:tc>
          <w:tcPr>
            <w:tcW w:w="0" w:type="auto"/>
            <w:vAlign w:val="center"/>
            <w:hideMark/>
          </w:tcPr>
          <w:p w14:paraId="0FD60A8F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6.8%</w:t>
            </w:r>
          </w:p>
        </w:tc>
        <w:tc>
          <w:tcPr>
            <w:tcW w:w="0" w:type="auto"/>
            <w:vAlign w:val="center"/>
            <w:hideMark/>
          </w:tcPr>
          <w:p w14:paraId="215FBC29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High</w:t>
            </w:r>
          </w:p>
        </w:tc>
      </w:tr>
      <w:tr w:rsidR="00A1013B" w:rsidRPr="00A1013B" w14:paraId="5EA952CE" w14:textId="77777777" w:rsidTr="00A1013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3F1570F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Bond B</w:t>
            </w:r>
          </w:p>
        </w:tc>
        <w:tc>
          <w:tcPr>
            <w:tcW w:w="0" w:type="auto"/>
            <w:vAlign w:val="center"/>
            <w:hideMark/>
          </w:tcPr>
          <w:p w14:paraId="3CA5D110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AAA Corporate Bond</w:t>
            </w:r>
          </w:p>
        </w:tc>
        <w:tc>
          <w:tcPr>
            <w:tcW w:w="0" w:type="auto"/>
            <w:vAlign w:val="center"/>
            <w:hideMark/>
          </w:tcPr>
          <w:p w14:paraId="40521AE5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5 years</w:t>
            </w:r>
          </w:p>
        </w:tc>
        <w:tc>
          <w:tcPr>
            <w:tcW w:w="0" w:type="auto"/>
            <w:vAlign w:val="center"/>
            <w:hideMark/>
          </w:tcPr>
          <w:p w14:paraId="28DE92FE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7.4%</w:t>
            </w:r>
          </w:p>
        </w:tc>
        <w:tc>
          <w:tcPr>
            <w:tcW w:w="0" w:type="auto"/>
            <w:vAlign w:val="center"/>
            <w:hideMark/>
          </w:tcPr>
          <w:p w14:paraId="7DB9DEE8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Moderate</w:t>
            </w:r>
          </w:p>
        </w:tc>
      </w:tr>
      <w:tr w:rsidR="00A1013B" w:rsidRPr="00A1013B" w14:paraId="7C618A36" w14:textId="77777777" w:rsidTr="00A1013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DA91AA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Bond C</w:t>
            </w:r>
          </w:p>
        </w:tc>
        <w:tc>
          <w:tcPr>
            <w:tcW w:w="0" w:type="auto"/>
            <w:vAlign w:val="center"/>
            <w:hideMark/>
          </w:tcPr>
          <w:p w14:paraId="7C12DEA7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AA Corporate Bond</w:t>
            </w:r>
          </w:p>
        </w:tc>
        <w:tc>
          <w:tcPr>
            <w:tcW w:w="0" w:type="auto"/>
            <w:vAlign w:val="center"/>
            <w:hideMark/>
          </w:tcPr>
          <w:p w14:paraId="7AF499D6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3 years</w:t>
            </w:r>
          </w:p>
        </w:tc>
        <w:tc>
          <w:tcPr>
            <w:tcW w:w="0" w:type="auto"/>
            <w:vAlign w:val="center"/>
            <w:hideMark/>
          </w:tcPr>
          <w:p w14:paraId="14BE999C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8.6%</w:t>
            </w:r>
          </w:p>
        </w:tc>
        <w:tc>
          <w:tcPr>
            <w:tcW w:w="0" w:type="auto"/>
            <w:vAlign w:val="center"/>
            <w:hideMark/>
          </w:tcPr>
          <w:p w14:paraId="6F17BAAE" w14:textId="77777777" w:rsidR="00A1013B" w:rsidRPr="00A1013B" w:rsidRDefault="00A1013B" w:rsidP="00A1013B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A1013B">
              <w:rPr>
                <w:rFonts w:eastAsia="Times New Roman" w:cstheme="minorHAnsi"/>
                <w:sz w:val="24"/>
                <w:szCs w:val="24"/>
                <w:lang w:val="en-IN"/>
              </w:rPr>
              <w:t>Low</w:t>
            </w:r>
          </w:p>
        </w:tc>
      </w:tr>
    </w:tbl>
    <w:p w14:paraId="0A2BE1CA" w14:textId="77777777" w:rsidR="00D51EC3" w:rsidRDefault="00D51EC3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</w:p>
    <w:p w14:paraId="45003420" w14:textId="3F8C7330" w:rsidR="00A1013B" w:rsidRPr="00A1013B" w:rsidRDefault="00A1013B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A1013B">
        <w:rPr>
          <w:rFonts w:eastAsia="Times New Roman" w:cstheme="minorHAnsi"/>
          <w:sz w:val="24"/>
          <w:szCs w:val="24"/>
          <w:lang w:val="en-IN"/>
        </w:rPr>
        <w:t>The investor’s objective is to benefit from falling interest rates while maintaining prudent risk control.</w:t>
      </w:r>
    </w:p>
    <w:p w14:paraId="6F8C3101" w14:textId="77777777" w:rsidR="00FC1936" w:rsidRDefault="00FC1936" w:rsidP="00D51EC3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</w:p>
    <w:p w14:paraId="4CAD3FBD" w14:textId="1D876DCE" w:rsidR="00D51EC3" w:rsidRPr="00A1013B" w:rsidRDefault="00D51EC3" w:rsidP="00D51EC3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  <w:r w:rsidRPr="00A1013B">
        <w:rPr>
          <w:rFonts w:eastAsia="Times New Roman" w:cstheme="minorHAnsi"/>
          <w:b/>
          <w:bCs/>
          <w:sz w:val="24"/>
          <w:szCs w:val="24"/>
          <w:lang w:val="en-IN"/>
        </w:rPr>
        <w:lastRenderedPageBreak/>
        <w:t>Question</w:t>
      </w:r>
      <w:r w:rsidRPr="00D51EC3">
        <w:rPr>
          <w:rFonts w:eastAsia="Times New Roman" w:cstheme="minorHAnsi"/>
          <w:b/>
          <w:bCs/>
          <w:sz w:val="24"/>
          <w:szCs w:val="24"/>
          <w:lang w:val="en-IN"/>
        </w:rPr>
        <w:t>s:</w:t>
      </w:r>
    </w:p>
    <w:p w14:paraId="3817D46B" w14:textId="790F0751" w:rsidR="00A1013B" w:rsidRPr="004850EF" w:rsidRDefault="00A1013B" w:rsidP="00A1013B">
      <w:pPr>
        <w:pStyle w:val="ListParagraph"/>
        <w:numPr>
          <w:ilvl w:val="0"/>
          <w:numId w:val="15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F86F83">
        <w:rPr>
          <w:rFonts w:eastAsia="Times New Roman" w:cstheme="minorHAnsi"/>
          <w:i/>
          <w:iCs/>
          <w:sz w:val="24"/>
          <w:szCs w:val="24"/>
          <w:lang w:val="en-IN"/>
        </w:rPr>
        <w:t>Analyse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how a sustained decline in interest rates would affect the price behaviour and risk exposure of each bond. In your answer, compare the three instruments with reference to duration, </w:t>
      </w:r>
      <w:r w:rsidR="00D51EC3">
        <w:rPr>
          <w:rFonts w:eastAsia="Times New Roman" w:cstheme="minorHAnsi"/>
          <w:sz w:val="24"/>
          <w:szCs w:val="24"/>
          <w:lang w:val="en-IN"/>
        </w:rPr>
        <w:t xml:space="preserve">convexity, </w:t>
      </w:r>
      <w:r w:rsidRPr="004850EF">
        <w:rPr>
          <w:rFonts w:eastAsia="Times New Roman" w:cstheme="minorHAnsi"/>
          <w:sz w:val="24"/>
          <w:szCs w:val="24"/>
          <w:lang w:val="en-IN"/>
        </w:rPr>
        <w:t>maturity, and risk profile</w:t>
      </w:r>
      <w:r w:rsidR="00D51EC3">
        <w:rPr>
          <w:rFonts w:eastAsia="Times New Roman" w:cstheme="minorHAnsi"/>
          <w:sz w:val="24"/>
          <w:szCs w:val="24"/>
          <w:lang w:val="en-IN"/>
        </w:rPr>
        <w:t>.</w:t>
      </w:r>
    </w:p>
    <w:p w14:paraId="7BA55002" w14:textId="522AD712" w:rsidR="00A1013B" w:rsidRPr="00FC1936" w:rsidRDefault="00A1013B" w:rsidP="00A1013B">
      <w:pPr>
        <w:pStyle w:val="ListParagraph"/>
        <w:numPr>
          <w:ilvl w:val="0"/>
          <w:numId w:val="16"/>
        </w:num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>Marks)</w:t>
      </w:r>
    </w:p>
    <w:p w14:paraId="3ECDFF55" w14:textId="2B22FCCB" w:rsidR="00A1013B" w:rsidRPr="004850EF" w:rsidRDefault="00A1013B" w:rsidP="00A1013B">
      <w:pPr>
        <w:pStyle w:val="ListParagraph"/>
        <w:numPr>
          <w:ilvl w:val="0"/>
          <w:numId w:val="15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F86F83">
        <w:rPr>
          <w:rFonts w:eastAsia="Times New Roman" w:cstheme="minorHAnsi"/>
          <w:i/>
          <w:iCs/>
          <w:sz w:val="24"/>
          <w:szCs w:val="24"/>
          <w:lang w:val="en-IN"/>
        </w:rPr>
        <w:t>Examine</w:t>
      </w:r>
      <w:r w:rsidRPr="004850EF">
        <w:rPr>
          <w:rFonts w:eastAsia="Times New Roman" w:cstheme="minorHAnsi"/>
          <w:sz w:val="24"/>
          <w:szCs w:val="24"/>
          <w:lang w:val="en-IN"/>
        </w:rPr>
        <w:t xml:space="preserve"> which bond (or combination of bonds) would be most suitable under the given macroeconomic conditions for: Buy / Hold / Sell positions.</w:t>
      </w:r>
      <w:r w:rsidR="00F146FD">
        <w:rPr>
          <w:rFonts w:eastAsia="Times New Roman" w:cstheme="minorHAnsi"/>
          <w:sz w:val="24"/>
          <w:szCs w:val="24"/>
          <w:lang w:val="en-IN"/>
        </w:rPr>
        <w:tab/>
      </w:r>
      <w:r w:rsidR="00F146FD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="00F146FD" w:rsidRPr="00FC1936">
        <w:rPr>
          <w:rFonts w:eastAsia="Times New Roman" w:cstheme="minorHAnsi"/>
          <w:b/>
          <w:bCs/>
          <w:sz w:val="24"/>
          <w:szCs w:val="24"/>
          <w:lang w:val="en-IN"/>
        </w:rPr>
        <w:t>(3 Marks)</w:t>
      </w:r>
    </w:p>
    <w:p w14:paraId="005A6F1C" w14:textId="77777777" w:rsidR="00F146FD" w:rsidRDefault="00F146FD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</w:p>
    <w:p w14:paraId="55C5C0ED" w14:textId="2CF4517D" w:rsidR="00FA1DC6" w:rsidRPr="00FA1DC6" w:rsidRDefault="00FA1DC6" w:rsidP="00D51EC3">
      <w:pPr>
        <w:jc w:val="both"/>
        <w:rPr>
          <w:rFonts w:eastAsia="Times New Roman" w:cstheme="minorHAnsi"/>
          <w:b/>
          <w:bCs/>
          <w:i/>
          <w:iCs/>
          <w:sz w:val="24"/>
          <w:szCs w:val="24"/>
          <w:lang w:val="en-IN"/>
        </w:rPr>
      </w:pPr>
      <w:r w:rsidRPr="004850EF">
        <w:rPr>
          <w:rFonts w:eastAsia="Times New Roman" w:cstheme="minorHAnsi"/>
          <w:sz w:val="24"/>
          <w:szCs w:val="24"/>
          <w:lang w:val="en-IN"/>
        </w:rPr>
        <w:t>Q4) Omega Company is planning to set up a new manufacturing facility to support its projected growth over the next five years.</w:t>
      </w:r>
      <w:r w:rsidR="00D51EC3">
        <w:rPr>
          <w:rFonts w:eastAsia="Times New Roman" w:cstheme="minorHAnsi"/>
          <w:sz w:val="24"/>
          <w:szCs w:val="24"/>
          <w:lang w:val="en-IN"/>
        </w:rPr>
        <w:t xml:space="preserve"> </w:t>
      </w:r>
      <w:r w:rsidRPr="00FA1DC6">
        <w:rPr>
          <w:rFonts w:eastAsia="Times New Roman" w:cstheme="minorHAnsi"/>
          <w:sz w:val="24"/>
          <w:szCs w:val="24"/>
          <w:lang w:val="en-IN"/>
        </w:rPr>
        <w:t xml:space="preserve">At present, the company has an existing capital structure comprising Equity of ₹1,500 million and Debt of ₹300 million. The proposed expansion is intended to be financed through incremental </w:t>
      </w:r>
      <w:r w:rsidR="00EF7AE1">
        <w:rPr>
          <w:rFonts w:eastAsia="Times New Roman" w:cstheme="minorHAnsi"/>
          <w:sz w:val="24"/>
          <w:szCs w:val="24"/>
          <w:lang w:val="en-IN"/>
        </w:rPr>
        <w:t xml:space="preserve">debt </w:t>
      </w:r>
      <w:r w:rsidRPr="00FA1DC6">
        <w:rPr>
          <w:rFonts w:eastAsia="Times New Roman" w:cstheme="minorHAnsi"/>
          <w:sz w:val="24"/>
          <w:szCs w:val="24"/>
          <w:lang w:val="en-IN"/>
        </w:rPr>
        <w:t>borrowing.</w:t>
      </w:r>
      <w:r w:rsidR="00D51EC3">
        <w:rPr>
          <w:rFonts w:eastAsia="Times New Roman" w:cstheme="minorHAnsi"/>
          <w:sz w:val="24"/>
          <w:szCs w:val="24"/>
          <w:lang w:val="en-IN"/>
        </w:rPr>
        <w:t xml:space="preserve"> </w:t>
      </w:r>
      <w:r w:rsidRPr="00FA1DC6">
        <w:rPr>
          <w:rFonts w:eastAsia="Times New Roman" w:cstheme="minorHAnsi"/>
          <w:sz w:val="24"/>
          <w:szCs w:val="24"/>
          <w:lang w:val="en-IN"/>
        </w:rPr>
        <w:t>Based on current projections, the company expects an average EBIT of ₹520 million per year over the next five years. The applicable corporate tax rate is 25%.</w:t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D51EC3">
        <w:rPr>
          <w:rFonts w:eastAsia="Times New Roman" w:cstheme="minorHAnsi"/>
          <w:sz w:val="24"/>
          <w:szCs w:val="24"/>
          <w:lang w:val="en-IN"/>
        </w:rPr>
        <w:tab/>
      </w:r>
      <w:r w:rsidR="009E2728">
        <w:rPr>
          <w:rFonts w:eastAsia="Times New Roman" w:cstheme="minorHAnsi"/>
          <w:sz w:val="24"/>
          <w:szCs w:val="24"/>
          <w:lang w:val="en-IN"/>
        </w:rPr>
        <w:t xml:space="preserve">        </w:t>
      </w:r>
    </w:p>
    <w:p w14:paraId="1E87225C" w14:textId="38337C19" w:rsidR="00FA1DC6" w:rsidRPr="00FA1DC6" w:rsidRDefault="00FA1DC6" w:rsidP="00D51EC3">
      <w:pPr>
        <w:jc w:val="both"/>
        <w:rPr>
          <w:rFonts w:eastAsia="Times New Roman" w:cstheme="minorHAnsi"/>
          <w:b/>
          <w:bCs/>
          <w:i/>
          <w:iCs/>
          <w:sz w:val="24"/>
          <w:szCs w:val="24"/>
          <w:lang w:val="en-IN"/>
        </w:rPr>
      </w:pPr>
      <w:r w:rsidRPr="00FA1DC6">
        <w:rPr>
          <w:rFonts w:eastAsia="Times New Roman" w:cstheme="minorHAnsi"/>
          <w:b/>
          <w:bCs/>
          <w:i/>
          <w:iCs/>
          <w:sz w:val="24"/>
          <w:szCs w:val="24"/>
          <w:lang w:val="en-IN"/>
        </w:rPr>
        <w:t>For this analysis, the following assumption should be applied:</w:t>
      </w:r>
    </w:p>
    <w:p w14:paraId="7F4FA5DB" w14:textId="1F1D01A7" w:rsidR="00FA1DC6" w:rsidRPr="00FA1DC6" w:rsidRDefault="00FA1DC6" w:rsidP="00D51EC3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FA1DC6">
        <w:rPr>
          <w:rFonts w:eastAsia="Times New Roman" w:cstheme="minorHAnsi"/>
          <w:sz w:val="24"/>
          <w:szCs w:val="24"/>
          <w:lang w:val="en-IN"/>
        </w:rPr>
        <w:t>Assume that the existing equity base of ₹1,500 million remains constant and that the expansion is financed only through incremental debt. Consequently, the Debt–Equity ratio will vary as additional debt is raised.</w:t>
      </w:r>
      <w:r w:rsidR="00D51EC3">
        <w:rPr>
          <w:rFonts w:eastAsia="Times New Roman" w:cstheme="minorHAnsi"/>
          <w:sz w:val="24"/>
          <w:szCs w:val="24"/>
          <w:lang w:val="en-IN"/>
        </w:rPr>
        <w:t xml:space="preserve"> </w:t>
      </w:r>
      <w:r w:rsidRPr="00FA1DC6">
        <w:rPr>
          <w:rFonts w:eastAsia="Times New Roman" w:cstheme="minorHAnsi"/>
          <w:sz w:val="24"/>
          <w:szCs w:val="24"/>
          <w:lang w:val="en-IN"/>
        </w:rPr>
        <w:t>The company’s investment bankers have provided estimates of the firm’s cost of capital and the corresponding EBIT–interest coverage benchmarks under different credit rating scenarios, as presented below.</w:t>
      </w:r>
    </w:p>
    <w:p w14:paraId="105267E2" w14:textId="77777777" w:rsidR="00EF7AE1" w:rsidRDefault="00EF7AE1" w:rsidP="00F146FD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</w:p>
    <w:p w14:paraId="26C0F27C" w14:textId="1FB5D4E4" w:rsidR="00FA1DC6" w:rsidRPr="00FA1DC6" w:rsidRDefault="00FA1DC6" w:rsidP="00F146FD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  <w:r w:rsidRPr="00FA1DC6">
        <w:rPr>
          <w:rFonts w:eastAsia="Times New Roman" w:cstheme="minorHAnsi"/>
          <w:b/>
          <w:bCs/>
          <w:sz w:val="24"/>
          <w:szCs w:val="24"/>
          <w:lang w:val="en-IN"/>
        </w:rPr>
        <w:t>Estimated Cost of Capital by Credit Rating</w:t>
      </w:r>
      <w:r w:rsidR="00F146FD">
        <w:rPr>
          <w:rFonts w:eastAsia="Times New Roman" w:cstheme="minorHAnsi"/>
          <w:b/>
          <w:bCs/>
          <w:sz w:val="24"/>
          <w:szCs w:val="24"/>
          <w:lang w:val="en-IN"/>
        </w:rPr>
        <w:t xml:space="preserve"> &amp; </w:t>
      </w:r>
      <w:r w:rsidR="00F146FD" w:rsidRPr="00FA1DC6">
        <w:rPr>
          <w:rFonts w:eastAsia="Times New Roman" w:cstheme="minorHAnsi"/>
          <w:b/>
          <w:bCs/>
          <w:sz w:val="24"/>
          <w:szCs w:val="24"/>
          <w:lang w:val="en-IN"/>
        </w:rPr>
        <w:t>Indicative EBIT–Interest Coverage Benchmarks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2465"/>
        <w:gridCol w:w="1838"/>
        <w:gridCol w:w="1530"/>
      </w:tblGrid>
      <w:tr w:rsidR="00F146FD" w:rsidRPr="00FA1DC6" w14:paraId="3EC0E5CE" w14:textId="2E9A0A9D" w:rsidTr="00F146FD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23378B" w14:textId="77777777" w:rsidR="00F146FD" w:rsidRPr="00FA1DC6" w:rsidRDefault="00F146FD" w:rsidP="00F146FD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FA1DC6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Credit Rating</w:t>
            </w:r>
          </w:p>
        </w:tc>
        <w:tc>
          <w:tcPr>
            <w:tcW w:w="0" w:type="auto"/>
            <w:vAlign w:val="center"/>
            <w:hideMark/>
          </w:tcPr>
          <w:p w14:paraId="0916A7B1" w14:textId="77777777" w:rsidR="00F146FD" w:rsidRPr="00FA1DC6" w:rsidRDefault="00F146FD" w:rsidP="00F146FD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FA1DC6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Pre-tax Cost of Debt (%)</w:t>
            </w:r>
          </w:p>
        </w:tc>
        <w:tc>
          <w:tcPr>
            <w:tcW w:w="0" w:type="auto"/>
            <w:vAlign w:val="center"/>
            <w:hideMark/>
          </w:tcPr>
          <w:p w14:paraId="452BDCC2" w14:textId="77777777" w:rsidR="00F146FD" w:rsidRPr="00FA1DC6" w:rsidRDefault="00F146FD" w:rsidP="00F146FD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FA1DC6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Cost of Equity (%)</w:t>
            </w:r>
          </w:p>
        </w:tc>
        <w:tc>
          <w:tcPr>
            <w:tcW w:w="1485" w:type="dxa"/>
            <w:vAlign w:val="center"/>
          </w:tcPr>
          <w:p w14:paraId="48568DED" w14:textId="1960E109" w:rsidR="00F146FD" w:rsidRPr="00FA1DC6" w:rsidRDefault="00F146FD" w:rsidP="00F146FD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</w:pPr>
            <w:r w:rsidRPr="00FA1DC6">
              <w:rPr>
                <w:rFonts w:eastAsia="Times New Roman" w:cstheme="minorHAnsi"/>
                <w:b/>
                <w:bCs/>
                <w:sz w:val="24"/>
                <w:szCs w:val="24"/>
                <w:lang w:val="en-IN"/>
              </w:rPr>
              <w:t>EBIT / Interest Coverage</w:t>
            </w:r>
          </w:p>
        </w:tc>
      </w:tr>
      <w:tr w:rsidR="00F146FD" w:rsidRPr="00FA1DC6" w14:paraId="6684EE3E" w14:textId="20026AB3" w:rsidTr="00F146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3CD5D3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AAA</w:t>
            </w:r>
          </w:p>
        </w:tc>
        <w:tc>
          <w:tcPr>
            <w:tcW w:w="0" w:type="auto"/>
            <w:vAlign w:val="center"/>
            <w:hideMark/>
          </w:tcPr>
          <w:p w14:paraId="7DE3A5CA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5.80</w:t>
            </w:r>
          </w:p>
        </w:tc>
        <w:tc>
          <w:tcPr>
            <w:tcW w:w="0" w:type="auto"/>
            <w:vAlign w:val="center"/>
            <w:hideMark/>
          </w:tcPr>
          <w:p w14:paraId="215C21AF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12.00</w:t>
            </w:r>
          </w:p>
        </w:tc>
        <w:tc>
          <w:tcPr>
            <w:tcW w:w="1485" w:type="dxa"/>
            <w:vAlign w:val="center"/>
          </w:tcPr>
          <w:p w14:paraId="0F843C84" w14:textId="34A5E35F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25.0</w:t>
            </w:r>
          </w:p>
        </w:tc>
      </w:tr>
      <w:tr w:rsidR="00F146FD" w:rsidRPr="00FA1DC6" w14:paraId="4051BAFA" w14:textId="5BBFB266" w:rsidTr="00F146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B4BF28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AA</w:t>
            </w:r>
          </w:p>
        </w:tc>
        <w:tc>
          <w:tcPr>
            <w:tcW w:w="0" w:type="auto"/>
            <w:vAlign w:val="center"/>
            <w:hideMark/>
          </w:tcPr>
          <w:p w14:paraId="751613F5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6.10</w:t>
            </w:r>
          </w:p>
        </w:tc>
        <w:tc>
          <w:tcPr>
            <w:tcW w:w="0" w:type="auto"/>
            <w:vAlign w:val="center"/>
            <w:hideMark/>
          </w:tcPr>
          <w:p w14:paraId="6B088135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12.50</w:t>
            </w:r>
          </w:p>
        </w:tc>
        <w:tc>
          <w:tcPr>
            <w:tcW w:w="1485" w:type="dxa"/>
            <w:vAlign w:val="center"/>
          </w:tcPr>
          <w:p w14:paraId="5D8FBE82" w14:textId="5B1089D4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14.0</w:t>
            </w:r>
          </w:p>
        </w:tc>
      </w:tr>
      <w:tr w:rsidR="00F146FD" w:rsidRPr="00FA1DC6" w14:paraId="5640837B" w14:textId="7F96DC67" w:rsidTr="00F146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A7ED1E1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E465C0A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6.60</w:t>
            </w:r>
          </w:p>
        </w:tc>
        <w:tc>
          <w:tcPr>
            <w:tcW w:w="0" w:type="auto"/>
            <w:vAlign w:val="center"/>
            <w:hideMark/>
          </w:tcPr>
          <w:p w14:paraId="3C45A10F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13.00</w:t>
            </w:r>
          </w:p>
        </w:tc>
        <w:tc>
          <w:tcPr>
            <w:tcW w:w="1485" w:type="dxa"/>
            <w:vAlign w:val="center"/>
          </w:tcPr>
          <w:p w14:paraId="1B37D9B6" w14:textId="24846D73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7.0</w:t>
            </w:r>
          </w:p>
        </w:tc>
      </w:tr>
      <w:tr w:rsidR="00F146FD" w:rsidRPr="00FA1DC6" w14:paraId="66139D7E" w14:textId="5E8417EC" w:rsidTr="00F146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00E705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BBB</w:t>
            </w:r>
          </w:p>
        </w:tc>
        <w:tc>
          <w:tcPr>
            <w:tcW w:w="0" w:type="auto"/>
            <w:vAlign w:val="center"/>
            <w:hideMark/>
          </w:tcPr>
          <w:p w14:paraId="31AB5C6C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7.50</w:t>
            </w:r>
          </w:p>
        </w:tc>
        <w:tc>
          <w:tcPr>
            <w:tcW w:w="0" w:type="auto"/>
            <w:vAlign w:val="center"/>
            <w:hideMark/>
          </w:tcPr>
          <w:p w14:paraId="16055827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14.00</w:t>
            </w:r>
          </w:p>
        </w:tc>
        <w:tc>
          <w:tcPr>
            <w:tcW w:w="1485" w:type="dxa"/>
            <w:vAlign w:val="center"/>
          </w:tcPr>
          <w:p w14:paraId="693768AE" w14:textId="076789AE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4.0</w:t>
            </w:r>
          </w:p>
        </w:tc>
      </w:tr>
      <w:tr w:rsidR="00F146FD" w:rsidRPr="00FA1DC6" w14:paraId="7E1C69C8" w14:textId="0C9DC83C" w:rsidTr="00F146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8DD600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BB</w:t>
            </w:r>
          </w:p>
        </w:tc>
        <w:tc>
          <w:tcPr>
            <w:tcW w:w="0" w:type="auto"/>
            <w:vAlign w:val="center"/>
            <w:hideMark/>
          </w:tcPr>
          <w:p w14:paraId="71576EB3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10.50</w:t>
            </w:r>
          </w:p>
        </w:tc>
        <w:tc>
          <w:tcPr>
            <w:tcW w:w="0" w:type="auto"/>
            <w:vAlign w:val="center"/>
            <w:hideMark/>
          </w:tcPr>
          <w:p w14:paraId="423ECBC7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18.00</w:t>
            </w:r>
          </w:p>
        </w:tc>
        <w:tc>
          <w:tcPr>
            <w:tcW w:w="1485" w:type="dxa"/>
            <w:vAlign w:val="center"/>
          </w:tcPr>
          <w:p w14:paraId="60720E4D" w14:textId="2A1994D4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2.2</w:t>
            </w:r>
          </w:p>
        </w:tc>
      </w:tr>
      <w:tr w:rsidR="00F146FD" w:rsidRPr="00FA1DC6" w14:paraId="32934ED1" w14:textId="476C7CBB" w:rsidTr="00F146F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130B5A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CA7528A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12.50</w:t>
            </w:r>
          </w:p>
        </w:tc>
        <w:tc>
          <w:tcPr>
            <w:tcW w:w="0" w:type="auto"/>
            <w:vAlign w:val="center"/>
            <w:hideMark/>
          </w:tcPr>
          <w:p w14:paraId="2A163F9E" w14:textId="77777777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22.00</w:t>
            </w:r>
          </w:p>
        </w:tc>
        <w:tc>
          <w:tcPr>
            <w:tcW w:w="1485" w:type="dxa"/>
            <w:vAlign w:val="center"/>
          </w:tcPr>
          <w:p w14:paraId="72EA633B" w14:textId="326F60D5" w:rsidR="00F146FD" w:rsidRPr="00845827" w:rsidRDefault="00F146FD" w:rsidP="00F146FD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845827">
              <w:rPr>
                <w:rFonts w:eastAsia="Times New Roman" w:cstheme="minorHAnsi"/>
                <w:sz w:val="24"/>
                <w:szCs w:val="24"/>
                <w:lang w:val="en-IN"/>
              </w:rPr>
              <w:t>1.2</w:t>
            </w:r>
          </w:p>
        </w:tc>
      </w:tr>
    </w:tbl>
    <w:p w14:paraId="5843672A" w14:textId="43EABA7F" w:rsidR="00FA1DC6" w:rsidRPr="00FA1DC6" w:rsidRDefault="00FA1DC6" w:rsidP="00FA1DC6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</w:p>
    <w:p w14:paraId="1E5AFB10" w14:textId="2EE6411E" w:rsidR="00FA1DC6" w:rsidRPr="00FA1DC6" w:rsidRDefault="00F86F83" w:rsidP="00FA1DC6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  <w:r>
        <w:rPr>
          <w:rFonts w:eastAsia="Times New Roman" w:cstheme="minorHAnsi"/>
          <w:b/>
          <w:bCs/>
          <w:sz w:val="24"/>
          <w:szCs w:val="24"/>
          <w:lang w:val="en-IN"/>
        </w:rPr>
        <w:t>Questions</w:t>
      </w:r>
      <w:r w:rsidR="004850EF" w:rsidRPr="004850EF">
        <w:rPr>
          <w:rFonts w:eastAsia="Times New Roman" w:cstheme="minorHAnsi"/>
          <w:b/>
          <w:bCs/>
          <w:sz w:val="24"/>
          <w:szCs w:val="24"/>
          <w:lang w:val="en-IN"/>
        </w:rPr>
        <w:t>:</w:t>
      </w:r>
    </w:p>
    <w:p w14:paraId="235E4C90" w14:textId="19E955A2" w:rsidR="00FA1DC6" w:rsidRPr="00FA1DC6" w:rsidRDefault="00FA1DC6" w:rsidP="00FA1DC6">
      <w:pPr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  <w:lang w:val="en-IN"/>
        </w:rPr>
      </w:pPr>
      <w:bookmarkStart w:id="0" w:name="_Hlk218863402"/>
      <w:r w:rsidRPr="00FA1DC6">
        <w:rPr>
          <w:rFonts w:eastAsia="Times New Roman" w:cstheme="minorHAnsi"/>
          <w:i/>
          <w:iCs/>
          <w:sz w:val="24"/>
          <w:szCs w:val="24"/>
          <w:lang w:val="en-IN"/>
        </w:rPr>
        <w:t>D</w:t>
      </w:r>
      <w:r w:rsidR="004850EF" w:rsidRPr="004850EF">
        <w:rPr>
          <w:rFonts w:eastAsia="Times New Roman" w:cstheme="minorHAnsi"/>
          <w:i/>
          <w:iCs/>
          <w:sz w:val="24"/>
          <w:szCs w:val="24"/>
          <w:lang w:val="en-IN"/>
        </w:rPr>
        <w:t>iscover</w:t>
      </w:r>
      <w:r w:rsidRPr="00FA1DC6">
        <w:rPr>
          <w:rFonts w:eastAsia="Times New Roman" w:cstheme="minorHAnsi"/>
          <w:sz w:val="24"/>
          <w:szCs w:val="24"/>
          <w:lang w:val="en-IN"/>
        </w:rPr>
        <w:t xml:space="preserve"> the maximum level of total debt Omega Company can support under each credit rating based on the interest coverage </w:t>
      </w:r>
      <w:r w:rsidR="004850EF" w:rsidRPr="004850EF">
        <w:rPr>
          <w:rFonts w:eastAsia="Times New Roman" w:cstheme="minorHAnsi"/>
          <w:sz w:val="24"/>
          <w:szCs w:val="24"/>
          <w:lang w:val="en-IN"/>
        </w:rPr>
        <w:t>constraints and</w:t>
      </w:r>
      <w:r w:rsidRPr="00FA1DC6">
        <w:rPr>
          <w:rFonts w:eastAsia="Times New Roman" w:cstheme="minorHAnsi"/>
          <w:sz w:val="24"/>
          <w:szCs w:val="24"/>
          <w:lang w:val="en-IN"/>
        </w:rPr>
        <w:t xml:space="preserve"> </w:t>
      </w:r>
      <w:r w:rsidR="00F86F83" w:rsidRPr="00F86F83">
        <w:rPr>
          <w:rFonts w:eastAsia="Times New Roman" w:cstheme="minorHAnsi"/>
          <w:i/>
          <w:iCs/>
          <w:sz w:val="24"/>
          <w:szCs w:val="24"/>
          <w:lang w:val="en-IN"/>
        </w:rPr>
        <w:t>dissect</w:t>
      </w:r>
      <w:r w:rsidRPr="00FA1DC6">
        <w:rPr>
          <w:rFonts w:eastAsia="Times New Roman" w:cstheme="minorHAnsi"/>
          <w:sz w:val="24"/>
          <w:szCs w:val="24"/>
          <w:lang w:val="en-IN"/>
        </w:rPr>
        <w:t xml:space="preserve"> the corresponding incremental debt capacity over and above the existing debt.</w:t>
      </w:r>
      <w:r w:rsidR="004850EF" w:rsidRPr="004850EF">
        <w:rPr>
          <w:rFonts w:eastAsia="Times New Roman" w:cstheme="minorHAnsi"/>
          <w:sz w:val="24"/>
          <w:szCs w:val="24"/>
          <w:lang w:val="en-IN"/>
        </w:rPr>
        <w:tab/>
      </w:r>
      <w:r w:rsidR="004850EF" w:rsidRPr="004850EF">
        <w:rPr>
          <w:rFonts w:eastAsia="Times New Roman" w:cstheme="minorHAnsi"/>
          <w:sz w:val="24"/>
          <w:szCs w:val="24"/>
          <w:lang w:val="en-IN"/>
        </w:rPr>
        <w:tab/>
      </w:r>
      <w:r w:rsidR="004850EF" w:rsidRPr="004850EF">
        <w:rPr>
          <w:rFonts w:eastAsia="Times New Roman" w:cstheme="minorHAnsi"/>
          <w:sz w:val="24"/>
          <w:szCs w:val="24"/>
          <w:lang w:val="en-IN"/>
        </w:rPr>
        <w:tab/>
      </w:r>
      <w:r w:rsidR="004850EF" w:rsidRP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4850EF">
        <w:rPr>
          <w:rFonts w:eastAsia="Times New Roman" w:cstheme="minorHAnsi"/>
          <w:sz w:val="24"/>
          <w:szCs w:val="24"/>
          <w:lang w:val="en-IN"/>
        </w:rPr>
        <w:tab/>
      </w:r>
      <w:r w:rsidR="00083FCD">
        <w:rPr>
          <w:rFonts w:eastAsia="Times New Roman" w:cstheme="minorHAnsi"/>
          <w:sz w:val="24"/>
          <w:szCs w:val="24"/>
          <w:lang w:val="en-IN"/>
        </w:rPr>
        <w:tab/>
      </w:r>
      <w:r w:rsidR="00083FCD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="004850EF" w:rsidRPr="00FC1936">
        <w:rPr>
          <w:rFonts w:eastAsia="Times New Roman" w:cstheme="minorHAnsi"/>
          <w:b/>
          <w:bCs/>
          <w:sz w:val="24"/>
          <w:szCs w:val="24"/>
          <w:lang w:val="en-IN"/>
        </w:rPr>
        <w:t>(4 Marks)</w:t>
      </w:r>
    </w:p>
    <w:p w14:paraId="73ABE92E" w14:textId="7F98C8CF" w:rsidR="00FA1DC6" w:rsidRPr="00FA1DC6" w:rsidRDefault="004850EF" w:rsidP="00FA1DC6">
      <w:pPr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4850EF">
        <w:rPr>
          <w:rFonts w:eastAsia="Times New Roman" w:cstheme="minorHAnsi"/>
          <w:i/>
          <w:iCs/>
          <w:sz w:val="24"/>
          <w:szCs w:val="24"/>
          <w:lang w:val="en-IN"/>
        </w:rPr>
        <w:t>Infer</w:t>
      </w:r>
      <w:r w:rsidR="00FA1DC6" w:rsidRPr="00FA1DC6">
        <w:rPr>
          <w:rFonts w:eastAsia="Times New Roman" w:cstheme="minorHAnsi"/>
          <w:sz w:val="24"/>
          <w:szCs w:val="24"/>
          <w:lang w:val="en-IN"/>
        </w:rPr>
        <w:t xml:space="preserve"> the Weighted Average Cost of Capital (WACC) for each feasible credit rating using the capital structure implied by total debt and existing equity.</w:t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>(6 Marks)</w:t>
      </w:r>
    </w:p>
    <w:p w14:paraId="251D84BF" w14:textId="49FA9806" w:rsidR="00FA1DC6" w:rsidRPr="00FA1DC6" w:rsidRDefault="004850EF" w:rsidP="00FA1DC6">
      <w:pPr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4850EF">
        <w:rPr>
          <w:rFonts w:eastAsia="Times New Roman" w:cstheme="minorHAnsi"/>
          <w:i/>
          <w:iCs/>
          <w:sz w:val="24"/>
          <w:szCs w:val="24"/>
          <w:lang w:val="en-IN"/>
        </w:rPr>
        <w:t>Examine</w:t>
      </w:r>
      <w:r w:rsidR="00FA1DC6" w:rsidRPr="00FA1DC6">
        <w:rPr>
          <w:rFonts w:eastAsia="Times New Roman" w:cstheme="minorHAnsi"/>
          <w:sz w:val="24"/>
          <w:szCs w:val="24"/>
          <w:lang w:val="en-IN"/>
        </w:rPr>
        <w:t xml:space="preserve"> the credit rating and level of incremental debt at which WACC is minimised</w:t>
      </w:r>
      <w:r w:rsidRPr="004850EF">
        <w:rPr>
          <w:rFonts w:eastAsia="Times New Roman" w:cstheme="minorHAnsi"/>
          <w:sz w:val="24"/>
          <w:szCs w:val="24"/>
          <w:lang w:val="en-IN"/>
        </w:rPr>
        <w:t>.</w:t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Pr="004850EF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>(2 Marks)</w:t>
      </w:r>
    </w:p>
    <w:bookmarkEnd w:id="0"/>
    <w:p w14:paraId="7EEE931A" w14:textId="77777777" w:rsidR="00F146FD" w:rsidRDefault="00F146FD" w:rsidP="00F146FD">
      <w:pPr>
        <w:jc w:val="both"/>
        <w:rPr>
          <w:rFonts w:eastAsia="Times New Roman" w:cstheme="minorHAnsi"/>
          <w:sz w:val="24"/>
          <w:szCs w:val="24"/>
          <w:lang w:val="en-IN"/>
        </w:rPr>
      </w:pPr>
    </w:p>
    <w:p w14:paraId="15C99F64" w14:textId="399CFE23" w:rsidR="00F146FD" w:rsidRPr="00F146FD" w:rsidRDefault="000279B8" w:rsidP="00F146FD">
      <w:pPr>
        <w:jc w:val="both"/>
        <w:rPr>
          <w:rFonts w:eastAsia="Times New Roman" w:cstheme="minorHAnsi"/>
          <w:b/>
          <w:bCs/>
          <w:i/>
          <w:iCs/>
          <w:sz w:val="24"/>
          <w:szCs w:val="24"/>
          <w:lang w:val="en-IN"/>
        </w:rPr>
      </w:pPr>
      <w:r w:rsidRPr="00F146FD">
        <w:rPr>
          <w:rFonts w:eastAsia="Times New Roman" w:cstheme="minorHAnsi"/>
          <w:sz w:val="24"/>
          <w:szCs w:val="24"/>
          <w:lang w:val="en-IN"/>
        </w:rPr>
        <w:t>Q5) The annual zero-coupon (spot) rates prevailing in the market are given below:</w:t>
      </w:r>
      <w:r w:rsidR="00F146FD" w:rsidRPr="00F146FD">
        <w:rPr>
          <w:rFonts w:eastAsia="Times New Roman" w:cstheme="minorHAnsi"/>
          <w:sz w:val="24"/>
          <w:szCs w:val="24"/>
          <w:lang w:val="en-IN"/>
        </w:rPr>
        <w:t xml:space="preserve">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1410"/>
      </w:tblGrid>
      <w:tr w:rsidR="000279B8" w:rsidRPr="000279B8" w14:paraId="1EF8E521" w14:textId="77777777" w:rsidTr="00D51EC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41573B7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Maturity (Years)</w:t>
            </w:r>
          </w:p>
        </w:tc>
        <w:tc>
          <w:tcPr>
            <w:tcW w:w="0" w:type="auto"/>
            <w:vAlign w:val="center"/>
            <w:hideMark/>
          </w:tcPr>
          <w:p w14:paraId="560528BE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Spot Rate (%)</w:t>
            </w:r>
          </w:p>
        </w:tc>
      </w:tr>
      <w:tr w:rsidR="000279B8" w:rsidRPr="000279B8" w14:paraId="600415B2" w14:textId="77777777" w:rsidTr="00D51E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7AF03D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5F386B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5.0%</w:t>
            </w:r>
          </w:p>
        </w:tc>
      </w:tr>
      <w:tr w:rsidR="000279B8" w:rsidRPr="000279B8" w14:paraId="1507B429" w14:textId="77777777" w:rsidTr="00D51E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7C129AE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68BC2B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5.6%</w:t>
            </w:r>
          </w:p>
        </w:tc>
      </w:tr>
      <w:tr w:rsidR="000279B8" w:rsidRPr="000279B8" w14:paraId="7B155E90" w14:textId="77777777" w:rsidTr="00D51E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3974A01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FF02A6" w14:textId="77777777" w:rsidR="000279B8" w:rsidRPr="000279B8" w:rsidRDefault="000279B8" w:rsidP="00D51EC3">
            <w:pPr>
              <w:jc w:val="center"/>
              <w:rPr>
                <w:rFonts w:eastAsia="Times New Roman" w:cstheme="minorHAnsi"/>
                <w:sz w:val="24"/>
                <w:szCs w:val="24"/>
                <w:lang w:val="en-IN"/>
              </w:rPr>
            </w:pPr>
            <w:r w:rsidRPr="000279B8">
              <w:rPr>
                <w:rFonts w:eastAsia="Times New Roman" w:cstheme="minorHAnsi"/>
                <w:sz w:val="24"/>
                <w:szCs w:val="24"/>
                <w:lang w:val="en-IN"/>
              </w:rPr>
              <w:t>6.2%</w:t>
            </w:r>
          </w:p>
        </w:tc>
      </w:tr>
    </w:tbl>
    <w:p w14:paraId="68C2EDF7" w14:textId="77777777" w:rsidR="00D51EC3" w:rsidRPr="00F146FD" w:rsidRDefault="00D51EC3" w:rsidP="000279B8">
      <w:pPr>
        <w:jc w:val="both"/>
        <w:rPr>
          <w:rFonts w:eastAsia="Times New Roman" w:cstheme="minorHAnsi"/>
          <w:sz w:val="24"/>
          <w:szCs w:val="24"/>
          <w:lang w:val="en-IN"/>
        </w:rPr>
      </w:pPr>
    </w:p>
    <w:p w14:paraId="7DD9A65B" w14:textId="38F6A273" w:rsidR="000279B8" w:rsidRPr="000279B8" w:rsidRDefault="000279B8" w:rsidP="000279B8">
      <w:pPr>
        <w:jc w:val="both"/>
        <w:rPr>
          <w:rFonts w:eastAsia="Times New Roman" w:cstheme="minorHAnsi"/>
          <w:sz w:val="24"/>
          <w:szCs w:val="24"/>
          <w:lang w:val="en-IN"/>
        </w:rPr>
      </w:pPr>
      <w:r w:rsidRPr="000279B8">
        <w:rPr>
          <w:rFonts w:eastAsia="Times New Roman" w:cstheme="minorHAnsi"/>
          <w:sz w:val="24"/>
          <w:szCs w:val="24"/>
          <w:lang w:val="en-IN"/>
        </w:rPr>
        <w:t>A 3-year bond with a face value of ₹1,000 pays an annual coupon of 7%.</w:t>
      </w:r>
    </w:p>
    <w:p w14:paraId="40FFEDBE" w14:textId="262CD029" w:rsidR="000279B8" w:rsidRPr="000279B8" w:rsidRDefault="00F86F83" w:rsidP="000279B8">
      <w:pPr>
        <w:jc w:val="both"/>
        <w:rPr>
          <w:rFonts w:eastAsia="Times New Roman" w:cstheme="minorHAnsi"/>
          <w:b/>
          <w:bCs/>
          <w:sz w:val="24"/>
          <w:szCs w:val="24"/>
          <w:lang w:val="en-IN"/>
        </w:rPr>
      </w:pPr>
      <w:r>
        <w:rPr>
          <w:rFonts w:eastAsia="Times New Roman" w:cstheme="minorHAnsi"/>
          <w:b/>
          <w:bCs/>
          <w:sz w:val="24"/>
          <w:szCs w:val="24"/>
          <w:lang w:val="en-IN"/>
        </w:rPr>
        <w:t>Questions</w:t>
      </w:r>
      <w:r w:rsidR="00D51EC3" w:rsidRPr="00F146FD">
        <w:rPr>
          <w:rFonts w:eastAsia="Times New Roman" w:cstheme="minorHAnsi"/>
          <w:b/>
          <w:bCs/>
          <w:sz w:val="24"/>
          <w:szCs w:val="24"/>
          <w:lang w:val="en-IN"/>
        </w:rPr>
        <w:t>:</w:t>
      </w:r>
    </w:p>
    <w:p w14:paraId="35506D49" w14:textId="7CB85C6B" w:rsidR="000279B8" w:rsidRPr="00593456" w:rsidRDefault="000279B8" w:rsidP="00D51EC3">
      <w:pPr>
        <w:pStyle w:val="ListParagraph"/>
        <w:numPr>
          <w:ilvl w:val="0"/>
          <w:numId w:val="18"/>
        </w:numPr>
        <w:jc w:val="both"/>
        <w:rPr>
          <w:rFonts w:eastAsia="Times New Roman" w:cstheme="minorHAnsi"/>
          <w:i/>
          <w:iCs/>
          <w:sz w:val="24"/>
          <w:szCs w:val="24"/>
          <w:lang w:val="en-IN"/>
        </w:rPr>
      </w:pPr>
      <w:r w:rsidRPr="00593456">
        <w:rPr>
          <w:rFonts w:eastAsia="Times New Roman" w:cstheme="minorHAnsi"/>
          <w:sz w:val="24"/>
          <w:szCs w:val="24"/>
          <w:lang w:val="en-IN"/>
        </w:rPr>
        <w:t xml:space="preserve">Using the given spot rates, </w:t>
      </w:r>
      <w:r w:rsidR="00F86F83" w:rsidRPr="00F86F83">
        <w:rPr>
          <w:rFonts w:eastAsia="Times New Roman" w:cstheme="minorHAnsi"/>
          <w:i/>
          <w:iCs/>
          <w:sz w:val="24"/>
          <w:szCs w:val="24"/>
          <w:lang w:val="en-IN"/>
        </w:rPr>
        <w:t>discover</w:t>
      </w:r>
      <w:r w:rsidRPr="00593456">
        <w:rPr>
          <w:rFonts w:eastAsia="Times New Roman" w:cstheme="minorHAnsi"/>
          <w:sz w:val="24"/>
          <w:szCs w:val="24"/>
          <w:lang w:val="en-IN"/>
        </w:rPr>
        <w:t xml:space="preserve"> the fair value of the bond.</w:t>
      </w:r>
      <w:r w:rsidRPr="00593456">
        <w:rPr>
          <w:rFonts w:eastAsia="Times New Roman" w:cstheme="minorHAnsi"/>
          <w:sz w:val="24"/>
          <w:szCs w:val="24"/>
          <w:lang w:val="en-IN"/>
        </w:rPr>
        <w:br/>
      </w:r>
      <w:r w:rsidRPr="00593456">
        <w:rPr>
          <w:rFonts w:eastAsia="Times New Roman" w:cstheme="minorHAnsi"/>
          <w:i/>
          <w:iCs/>
          <w:sz w:val="24"/>
          <w:szCs w:val="24"/>
          <w:lang w:val="en-IN"/>
        </w:rPr>
        <w:t>(Show all calculations)</w:t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i/>
          <w:iCs/>
          <w:sz w:val="24"/>
          <w:szCs w:val="24"/>
          <w:lang w:val="en-IN"/>
        </w:rPr>
        <w:tab/>
      </w:r>
      <w:r w:rsidR="00FC1936">
        <w:rPr>
          <w:rFonts w:eastAsia="Times New Roman" w:cstheme="minorHAnsi"/>
          <w:i/>
          <w:iCs/>
          <w:sz w:val="24"/>
          <w:szCs w:val="24"/>
          <w:lang w:val="en-IN"/>
        </w:rPr>
        <w:t xml:space="preserve">   </w:t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>(</w:t>
      </w:r>
      <w:r w:rsidR="00EC5154" w:rsidRPr="00FC1936">
        <w:rPr>
          <w:rFonts w:eastAsia="Times New Roman" w:cstheme="minorHAnsi"/>
          <w:b/>
          <w:bCs/>
          <w:sz w:val="24"/>
          <w:szCs w:val="24"/>
          <w:lang w:val="en-IN"/>
        </w:rPr>
        <w:t>3</w:t>
      </w:r>
      <w:r w:rsidRPr="00FC1936">
        <w:rPr>
          <w:rFonts w:eastAsia="Times New Roman" w:cstheme="minorHAnsi"/>
          <w:b/>
          <w:bCs/>
          <w:sz w:val="24"/>
          <w:szCs w:val="24"/>
          <w:lang w:val="en-IN"/>
        </w:rPr>
        <w:t xml:space="preserve"> Marks)</w:t>
      </w:r>
    </w:p>
    <w:p w14:paraId="40F85D7D" w14:textId="77777777" w:rsidR="00593456" w:rsidRPr="00593456" w:rsidRDefault="00593456" w:rsidP="00593456">
      <w:pPr>
        <w:pStyle w:val="ListParagraph"/>
        <w:ind w:left="890"/>
        <w:jc w:val="both"/>
        <w:rPr>
          <w:rFonts w:eastAsia="Times New Roman" w:cstheme="minorHAnsi"/>
          <w:i/>
          <w:iCs/>
          <w:sz w:val="24"/>
          <w:szCs w:val="24"/>
          <w:lang w:val="en-IN"/>
        </w:rPr>
      </w:pPr>
    </w:p>
    <w:p w14:paraId="73A18A48" w14:textId="79769CB5" w:rsidR="00D51EC3" w:rsidRPr="00593456" w:rsidRDefault="00F86F83" w:rsidP="00D51EC3">
      <w:pPr>
        <w:pStyle w:val="ListParagraph"/>
        <w:numPr>
          <w:ilvl w:val="0"/>
          <w:numId w:val="18"/>
        </w:numPr>
        <w:jc w:val="both"/>
        <w:rPr>
          <w:rFonts w:eastAsia="Times New Roman" w:cstheme="minorHAnsi"/>
          <w:sz w:val="24"/>
          <w:szCs w:val="24"/>
          <w:lang w:val="en-IN"/>
        </w:rPr>
      </w:pPr>
      <w:r w:rsidRPr="00F86F83">
        <w:rPr>
          <w:rFonts w:eastAsia="Times New Roman" w:cstheme="minorHAnsi"/>
          <w:i/>
          <w:iCs/>
          <w:sz w:val="24"/>
          <w:szCs w:val="24"/>
          <w:lang w:val="en-IN"/>
        </w:rPr>
        <w:t>Simplify</w:t>
      </w:r>
      <w:r w:rsidR="000279B8" w:rsidRPr="00593456">
        <w:rPr>
          <w:rFonts w:eastAsia="Times New Roman" w:cstheme="minorHAnsi"/>
          <w:sz w:val="24"/>
          <w:szCs w:val="24"/>
          <w:lang w:val="en-IN"/>
        </w:rPr>
        <w:t xml:space="preserve"> the 1-year forward rate starting at the end of year 1 (1×2 forward rate) implied by the spot rates.</w:t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="00D51EC3" w:rsidRPr="00FC1936">
        <w:rPr>
          <w:rFonts w:eastAsia="Times New Roman" w:cstheme="minorHAnsi"/>
          <w:b/>
          <w:bCs/>
          <w:sz w:val="24"/>
          <w:szCs w:val="24"/>
          <w:lang w:val="en-IN"/>
        </w:rPr>
        <w:t>(2 Marks)</w:t>
      </w:r>
    </w:p>
    <w:p w14:paraId="2944ED01" w14:textId="77777777" w:rsidR="00593456" w:rsidRPr="00593456" w:rsidRDefault="00593456" w:rsidP="00593456">
      <w:pPr>
        <w:pStyle w:val="ListParagraph"/>
        <w:rPr>
          <w:rFonts w:eastAsia="Times New Roman" w:cstheme="minorHAnsi"/>
          <w:sz w:val="24"/>
          <w:szCs w:val="24"/>
          <w:lang w:val="en-IN"/>
        </w:rPr>
      </w:pPr>
    </w:p>
    <w:p w14:paraId="569112C2" w14:textId="3EF12D94" w:rsidR="00BF3C21" w:rsidRPr="00BF3C21" w:rsidRDefault="000279B8" w:rsidP="00AA2099">
      <w:pPr>
        <w:pStyle w:val="ListParagraph"/>
        <w:numPr>
          <w:ilvl w:val="0"/>
          <w:numId w:val="18"/>
        </w:numPr>
        <w:jc w:val="both"/>
        <w:rPr>
          <w:rFonts w:eastAsia="Times New Roman" w:cstheme="minorHAnsi"/>
          <w:b/>
          <w:bCs/>
          <w:lang w:val="en-IN"/>
        </w:rPr>
      </w:pPr>
      <w:r w:rsidRPr="00593456">
        <w:rPr>
          <w:rFonts w:eastAsia="Times New Roman" w:cstheme="minorHAnsi"/>
          <w:sz w:val="24"/>
          <w:szCs w:val="24"/>
          <w:lang w:val="en-IN"/>
        </w:rPr>
        <w:t xml:space="preserve">Based on the spot and forward rates, </w:t>
      </w:r>
      <w:r w:rsidRPr="00F86F83">
        <w:rPr>
          <w:rFonts w:eastAsia="Times New Roman" w:cstheme="minorHAnsi"/>
          <w:i/>
          <w:iCs/>
          <w:sz w:val="24"/>
          <w:szCs w:val="24"/>
          <w:lang w:val="en-IN"/>
        </w:rPr>
        <w:t>i</w:t>
      </w:r>
      <w:r w:rsidR="00F86F83" w:rsidRPr="00F86F83">
        <w:rPr>
          <w:rFonts w:eastAsia="Times New Roman" w:cstheme="minorHAnsi"/>
          <w:i/>
          <w:iCs/>
          <w:sz w:val="24"/>
          <w:szCs w:val="24"/>
          <w:lang w:val="en-IN"/>
        </w:rPr>
        <w:t>nfer</w:t>
      </w:r>
      <w:r w:rsidRPr="00593456">
        <w:rPr>
          <w:rFonts w:eastAsia="Times New Roman" w:cstheme="minorHAnsi"/>
          <w:sz w:val="24"/>
          <w:szCs w:val="24"/>
          <w:lang w:val="en-IN"/>
        </w:rPr>
        <w:t xml:space="preserve"> the shape of the yield curve and briefly state one implication for bond investors.</w:t>
      </w:r>
      <w:r w:rsidR="00D51EC3" w:rsidRPr="00593456">
        <w:rPr>
          <w:rFonts w:eastAsia="Times New Roman" w:cstheme="minorHAnsi"/>
          <w:sz w:val="24"/>
          <w:szCs w:val="24"/>
          <w:lang w:val="en-IN"/>
        </w:rPr>
        <w:tab/>
      </w:r>
      <w:r w:rsidR="00D51EC3" w:rsidRPr="00F146FD">
        <w:rPr>
          <w:rFonts w:eastAsia="Times New Roman" w:cstheme="minorHAnsi"/>
          <w:sz w:val="24"/>
          <w:szCs w:val="24"/>
          <w:lang w:val="en-IN"/>
        </w:rPr>
        <w:tab/>
      </w:r>
      <w:r w:rsidR="00D51EC3" w:rsidRPr="00F146FD">
        <w:rPr>
          <w:rFonts w:eastAsia="Times New Roman" w:cstheme="minorHAnsi"/>
          <w:sz w:val="24"/>
          <w:szCs w:val="24"/>
          <w:lang w:val="en-IN"/>
        </w:rPr>
        <w:tab/>
      </w:r>
      <w:r w:rsidR="00D51EC3" w:rsidRPr="00F146FD">
        <w:rPr>
          <w:rFonts w:eastAsia="Times New Roman" w:cstheme="minorHAnsi"/>
          <w:sz w:val="24"/>
          <w:szCs w:val="24"/>
          <w:lang w:val="en-IN"/>
        </w:rPr>
        <w:tab/>
      </w:r>
      <w:r w:rsidR="00D51EC3" w:rsidRPr="00F146FD">
        <w:rPr>
          <w:rFonts w:eastAsia="Times New Roman" w:cstheme="minorHAnsi"/>
          <w:sz w:val="24"/>
          <w:szCs w:val="24"/>
          <w:lang w:val="en-IN"/>
        </w:rPr>
        <w:tab/>
      </w:r>
      <w:r w:rsidR="00FC1936">
        <w:rPr>
          <w:rFonts w:eastAsia="Times New Roman" w:cstheme="minorHAnsi"/>
          <w:sz w:val="24"/>
          <w:szCs w:val="24"/>
          <w:lang w:val="en-IN"/>
        </w:rPr>
        <w:t xml:space="preserve">   </w:t>
      </w:r>
      <w:r w:rsidR="00D51EC3" w:rsidRPr="00FC1936">
        <w:rPr>
          <w:rFonts w:eastAsia="Times New Roman" w:cstheme="minorHAnsi"/>
          <w:b/>
          <w:bCs/>
          <w:sz w:val="24"/>
          <w:szCs w:val="24"/>
          <w:lang w:val="en-IN"/>
        </w:rPr>
        <w:t>(2 Marks)</w:t>
      </w:r>
      <w:r w:rsidR="00BF3C21" w:rsidRPr="00F146FD">
        <w:rPr>
          <w:rFonts w:eastAsia="Times New Roman" w:cstheme="minorHAnsi"/>
          <w:b/>
          <w:bCs/>
          <w:lang w:val="en-IN"/>
        </w:rPr>
        <w:t xml:space="preserve">                                                   </w:t>
      </w:r>
    </w:p>
    <w:p w14:paraId="7FDAE673" w14:textId="77777777" w:rsidR="00BF3C21" w:rsidRPr="00FA1DC6" w:rsidRDefault="00BF3C21" w:rsidP="00BF3C21">
      <w:pPr>
        <w:jc w:val="both"/>
        <w:rPr>
          <w:rFonts w:eastAsia="Times New Roman" w:cstheme="minorHAnsi"/>
          <w:b/>
          <w:bCs/>
          <w:lang w:val="en-IN"/>
        </w:rPr>
      </w:pPr>
    </w:p>
    <w:sectPr w:rsidR="00BF3C21" w:rsidRPr="00FA1DC6" w:rsidSect="00D51EC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DBD0" w14:textId="77777777" w:rsidR="0061085D" w:rsidRDefault="0061085D" w:rsidP="00812952">
      <w:pPr>
        <w:spacing w:after="0" w:line="240" w:lineRule="auto"/>
      </w:pPr>
      <w:r>
        <w:separator/>
      </w:r>
    </w:p>
  </w:endnote>
  <w:endnote w:type="continuationSeparator" w:id="0">
    <w:p w14:paraId="65C26CC6" w14:textId="77777777" w:rsidR="0061085D" w:rsidRDefault="0061085D" w:rsidP="0081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972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88F03" w14:textId="77777777" w:rsidR="00812952" w:rsidRDefault="008129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2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C33CB5" w14:textId="77777777" w:rsidR="00812952" w:rsidRDefault="00812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7896C" w14:textId="77777777" w:rsidR="0061085D" w:rsidRDefault="0061085D" w:rsidP="00812952">
      <w:pPr>
        <w:spacing w:after="0" w:line="240" w:lineRule="auto"/>
      </w:pPr>
      <w:r>
        <w:separator/>
      </w:r>
    </w:p>
  </w:footnote>
  <w:footnote w:type="continuationSeparator" w:id="0">
    <w:p w14:paraId="5AB4FDEE" w14:textId="77777777" w:rsidR="0061085D" w:rsidRDefault="0061085D" w:rsidP="00812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890"/>
    <w:multiLevelType w:val="multilevel"/>
    <w:tmpl w:val="2020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30BD"/>
    <w:multiLevelType w:val="hybridMultilevel"/>
    <w:tmpl w:val="4BAA13AE"/>
    <w:lvl w:ilvl="0" w:tplc="FAF2B4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E3C4E"/>
    <w:multiLevelType w:val="hybridMultilevel"/>
    <w:tmpl w:val="08EEDEB6"/>
    <w:lvl w:ilvl="0" w:tplc="C382F97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  <w:sz w:val="2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F7320"/>
    <w:multiLevelType w:val="hybridMultilevel"/>
    <w:tmpl w:val="B4F47A40"/>
    <w:lvl w:ilvl="0" w:tplc="5C2215E8">
      <w:start w:val="5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000" w:hanging="360"/>
      </w:pPr>
    </w:lvl>
    <w:lvl w:ilvl="2" w:tplc="4009001B" w:tentative="1">
      <w:start w:val="1"/>
      <w:numFmt w:val="lowerRoman"/>
      <w:lvlText w:val="%3."/>
      <w:lvlJc w:val="right"/>
      <w:pPr>
        <w:ind w:left="9720" w:hanging="180"/>
      </w:pPr>
    </w:lvl>
    <w:lvl w:ilvl="3" w:tplc="4009000F" w:tentative="1">
      <w:start w:val="1"/>
      <w:numFmt w:val="decimal"/>
      <w:lvlText w:val="%4."/>
      <w:lvlJc w:val="left"/>
      <w:pPr>
        <w:ind w:left="10440" w:hanging="360"/>
      </w:pPr>
    </w:lvl>
    <w:lvl w:ilvl="4" w:tplc="40090019" w:tentative="1">
      <w:start w:val="1"/>
      <w:numFmt w:val="lowerLetter"/>
      <w:lvlText w:val="%5."/>
      <w:lvlJc w:val="left"/>
      <w:pPr>
        <w:ind w:left="11160" w:hanging="360"/>
      </w:pPr>
    </w:lvl>
    <w:lvl w:ilvl="5" w:tplc="4009001B" w:tentative="1">
      <w:start w:val="1"/>
      <w:numFmt w:val="lowerRoman"/>
      <w:lvlText w:val="%6."/>
      <w:lvlJc w:val="right"/>
      <w:pPr>
        <w:ind w:left="11880" w:hanging="180"/>
      </w:pPr>
    </w:lvl>
    <w:lvl w:ilvl="6" w:tplc="4009000F" w:tentative="1">
      <w:start w:val="1"/>
      <w:numFmt w:val="decimal"/>
      <w:lvlText w:val="%7."/>
      <w:lvlJc w:val="left"/>
      <w:pPr>
        <w:ind w:left="12600" w:hanging="360"/>
      </w:pPr>
    </w:lvl>
    <w:lvl w:ilvl="7" w:tplc="40090019" w:tentative="1">
      <w:start w:val="1"/>
      <w:numFmt w:val="lowerLetter"/>
      <w:lvlText w:val="%8."/>
      <w:lvlJc w:val="left"/>
      <w:pPr>
        <w:ind w:left="13320" w:hanging="360"/>
      </w:pPr>
    </w:lvl>
    <w:lvl w:ilvl="8" w:tplc="40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5" w15:restartNumberingAfterBreak="0">
    <w:nsid w:val="3A8C4FDD"/>
    <w:multiLevelType w:val="multilevel"/>
    <w:tmpl w:val="3F92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44B6A"/>
    <w:multiLevelType w:val="multilevel"/>
    <w:tmpl w:val="CFD2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70B6B"/>
    <w:multiLevelType w:val="hybridMultilevel"/>
    <w:tmpl w:val="62EEB15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83BEE"/>
    <w:multiLevelType w:val="hybridMultilevel"/>
    <w:tmpl w:val="7444BCD0"/>
    <w:lvl w:ilvl="0" w:tplc="8B3E2A5C">
      <w:start w:val="9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A4C7A"/>
    <w:multiLevelType w:val="hybridMultilevel"/>
    <w:tmpl w:val="5E9052A2"/>
    <w:lvl w:ilvl="0" w:tplc="1DEA0D80">
      <w:start w:val="1"/>
      <w:numFmt w:val="lowerLetter"/>
      <w:lvlText w:val="(%1)"/>
      <w:lvlJc w:val="left"/>
      <w:pPr>
        <w:ind w:left="890" w:hanging="53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572A2"/>
    <w:multiLevelType w:val="multilevel"/>
    <w:tmpl w:val="068A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71F6D"/>
    <w:multiLevelType w:val="hybridMultilevel"/>
    <w:tmpl w:val="50C293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46456"/>
    <w:multiLevelType w:val="hybridMultilevel"/>
    <w:tmpl w:val="034CE05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C7027"/>
    <w:multiLevelType w:val="hybridMultilevel"/>
    <w:tmpl w:val="B2C818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02A"/>
    <w:multiLevelType w:val="multilevel"/>
    <w:tmpl w:val="F888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90113"/>
    <w:multiLevelType w:val="hybridMultilevel"/>
    <w:tmpl w:val="371ED0F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77FF6"/>
    <w:multiLevelType w:val="multilevel"/>
    <w:tmpl w:val="AA90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B04B18"/>
    <w:multiLevelType w:val="hybridMultilevel"/>
    <w:tmpl w:val="032CEDC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327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1820">
    <w:abstractNumId w:val="7"/>
  </w:num>
  <w:num w:numId="3" w16cid:durableId="469638058">
    <w:abstractNumId w:val="3"/>
  </w:num>
  <w:num w:numId="4" w16cid:durableId="903368583">
    <w:abstractNumId w:val="16"/>
  </w:num>
  <w:num w:numId="5" w16cid:durableId="1049183941">
    <w:abstractNumId w:val="8"/>
  </w:num>
  <w:num w:numId="6" w16cid:durableId="178585887">
    <w:abstractNumId w:val="6"/>
  </w:num>
  <w:num w:numId="7" w16cid:durableId="1627466614">
    <w:abstractNumId w:val="5"/>
  </w:num>
  <w:num w:numId="8" w16cid:durableId="588545252">
    <w:abstractNumId w:val="17"/>
  </w:num>
  <w:num w:numId="9" w16cid:durableId="571619614">
    <w:abstractNumId w:val="14"/>
  </w:num>
  <w:num w:numId="10" w16cid:durableId="683552006">
    <w:abstractNumId w:val="12"/>
  </w:num>
  <w:num w:numId="11" w16cid:durableId="1467162876">
    <w:abstractNumId w:val="11"/>
  </w:num>
  <w:num w:numId="12" w16cid:durableId="807474132">
    <w:abstractNumId w:val="13"/>
  </w:num>
  <w:num w:numId="13" w16cid:durableId="207035870">
    <w:abstractNumId w:val="0"/>
  </w:num>
  <w:num w:numId="14" w16cid:durableId="1429815473">
    <w:abstractNumId w:val="2"/>
  </w:num>
  <w:num w:numId="15" w16cid:durableId="2000499155">
    <w:abstractNumId w:val="15"/>
  </w:num>
  <w:num w:numId="16" w16cid:durableId="2034988134">
    <w:abstractNumId w:val="4"/>
  </w:num>
  <w:num w:numId="17" w16cid:durableId="755325164">
    <w:abstractNumId w:val="10"/>
  </w:num>
  <w:num w:numId="18" w16cid:durableId="58191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xNjM3NjEwNbewNDJU0lEKTi0uzszPAykwqwUAcgUUxCwAAAA="/>
  </w:docVars>
  <w:rsids>
    <w:rsidRoot w:val="00124E36"/>
    <w:rsid w:val="000279B8"/>
    <w:rsid w:val="00083FCD"/>
    <w:rsid w:val="000851FD"/>
    <w:rsid w:val="000A0208"/>
    <w:rsid w:val="000A34E1"/>
    <w:rsid w:val="000F2200"/>
    <w:rsid w:val="00124E36"/>
    <w:rsid w:val="00126E9C"/>
    <w:rsid w:val="00152B9B"/>
    <w:rsid w:val="001675AA"/>
    <w:rsid w:val="00171B08"/>
    <w:rsid w:val="001A4DF5"/>
    <w:rsid w:val="00216C6F"/>
    <w:rsid w:val="00223A0D"/>
    <w:rsid w:val="002306B2"/>
    <w:rsid w:val="0023596D"/>
    <w:rsid w:val="002636CE"/>
    <w:rsid w:val="00291C19"/>
    <w:rsid w:val="00294653"/>
    <w:rsid w:val="00306733"/>
    <w:rsid w:val="00334AD1"/>
    <w:rsid w:val="00335F47"/>
    <w:rsid w:val="00375DC9"/>
    <w:rsid w:val="003831BC"/>
    <w:rsid w:val="003A397A"/>
    <w:rsid w:val="003B54B2"/>
    <w:rsid w:val="003B6060"/>
    <w:rsid w:val="00422DE2"/>
    <w:rsid w:val="00434B16"/>
    <w:rsid w:val="004850EF"/>
    <w:rsid w:val="004B1343"/>
    <w:rsid w:val="005058E3"/>
    <w:rsid w:val="00510222"/>
    <w:rsid w:val="005112E4"/>
    <w:rsid w:val="00551C7C"/>
    <w:rsid w:val="005528E2"/>
    <w:rsid w:val="00556FE3"/>
    <w:rsid w:val="00563A29"/>
    <w:rsid w:val="00571098"/>
    <w:rsid w:val="00593456"/>
    <w:rsid w:val="005D6D6F"/>
    <w:rsid w:val="00601B46"/>
    <w:rsid w:val="0061085D"/>
    <w:rsid w:val="0062389F"/>
    <w:rsid w:val="00635DAC"/>
    <w:rsid w:val="00653A4C"/>
    <w:rsid w:val="006D6933"/>
    <w:rsid w:val="006E58B2"/>
    <w:rsid w:val="006F0D01"/>
    <w:rsid w:val="0071044D"/>
    <w:rsid w:val="00717209"/>
    <w:rsid w:val="0076166E"/>
    <w:rsid w:val="007617D1"/>
    <w:rsid w:val="007B7951"/>
    <w:rsid w:val="00812952"/>
    <w:rsid w:val="00845827"/>
    <w:rsid w:val="008943E0"/>
    <w:rsid w:val="008B4235"/>
    <w:rsid w:val="0093500F"/>
    <w:rsid w:val="009B550A"/>
    <w:rsid w:val="009E2728"/>
    <w:rsid w:val="00A1013B"/>
    <w:rsid w:val="00A47883"/>
    <w:rsid w:val="00A87BD0"/>
    <w:rsid w:val="00A91710"/>
    <w:rsid w:val="00AB629C"/>
    <w:rsid w:val="00AC4364"/>
    <w:rsid w:val="00B0757C"/>
    <w:rsid w:val="00B531B6"/>
    <w:rsid w:val="00B7279B"/>
    <w:rsid w:val="00BB198D"/>
    <w:rsid w:val="00BB41E3"/>
    <w:rsid w:val="00BE33AE"/>
    <w:rsid w:val="00BE6E97"/>
    <w:rsid w:val="00BF3C21"/>
    <w:rsid w:val="00C128FD"/>
    <w:rsid w:val="00C360CF"/>
    <w:rsid w:val="00C62BA1"/>
    <w:rsid w:val="00C7596E"/>
    <w:rsid w:val="00CD7942"/>
    <w:rsid w:val="00D51EC3"/>
    <w:rsid w:val="00D911A6"/>
    <w:rsid w:val="00DA2F06"/>
    <w:rsid w:val="00DA75FD"/>
    <w:rsid w:val="00DC65BD"/>
    <w:rsid w:val="00E21642"/>
    <w:rsid w:val="00E610C9"/>
    <w:rsid w:val="00E812A2"/>
    <w:rsid w:val="00E923A5"/>
    <w:rsid w:val="00EC5154"/>
    <w:rsid w:val="00ED62D8"/>
    <w:rsid w:val="00EF7AE1"/>
    <w:rsid w:val="00F11EBE"/>
    <w:rsid w:val="00F146FD"/>
    <w:rsid w:val="00F86F83"/>
    <w:rsid w:val="00FA1DC6"/>
    <w:rsid w:val="00FB2AB0"/>
    <w:rsid w:val="00FC1936"/>
    <w:rsid w:val="00FE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5D4F5"/>
  <w15:chartTrackingRefBased/>
  <w15:docId w15:val="{1BF4C1C5-4279-4C97-A07F-02B92403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E36"/>
    <w:pPr>
      <w:spacing w:after="200" w:line="276" w:lineRule="auto"/>
    </w:pPr>
    <w:rPr>
      <w:rFonts w:eastAsiaTheme="minorEastAsia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A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E36"/>
    <w:pPr>
      <w:ind w:left="720"/>
      <w:contextualSpacing/>
    </w:pPr>
  </w:style>
  <w:style w:type="table" w:styleId="TableGrid">
    <w:name w:val="Table Grid"/>
    <w:basedOn w:val="TableNormal"/>
    <w:uiPriority w:val="39"/>
    <w:rsid w:val="00124E3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2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952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2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952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223A0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AB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Nupur Gupta</dc:creator>
  <cp:keywords/>
  <dc:description/>
  <cp:lastModifiedBy>Praveen Soni</cp:lastModifiedBy>
  <cp:revision>7</cp:revision>
  <cp:lastPrinted>2026-01-17T11:25:00Z</cp:lastPrinted>
  <dcterms:created xsi:type="dcterms:W3CDTF">2026-01-16T06:32:00Z</dcterms:created>
  <dcterms:modified xsi:type="dcterms:W3CDTF">2026-01-20T09:33:00Z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cc53e0d0-4e96-45c7-952d-b10cbc243347</vt:lpwstr>
  </property>
</Properties>
</file>