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151058" w:rsidP="00281B0A">
      <w:pPr>
        <w:spacing w:line="240" w:lineRule="auto"/>
        <w:jc w:val="center"/>
        <w:rPr>
          <w:rFonts w:ascii="Arial" w:hAnsi="Arial" w:cs="Arial"/>
          <w:b/>
          <w:bCs/>
        </w:rPr>
      </w:pPr>
      <w:r>
        <w:rPr>
          <w:rFonts w:ascii="Arial" w:hAnsi="Arial" w:cs="Arial"/>
          <w:b/>
          <w:bCs/>
        </w:rPr>
        <w:t xml:space="preserve">FOURTH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185104" w:rsidP="00281B0A">
      <w:pPr>
        <w:spacing w:line="240" w:lineRule="auto"/>
        <w:jc w:val="center"/>
        <w:rPr>
          <w:rFonts w:ascii="Arial" w:hAnsi="Arial" w:cs="Arial"/>
          <w:b/>
          <w:bCs/>
        </w:rPr>
      </w:pPr>
      <w:r>
        <w:rPr>
          <w:rFonts w:ascii="Arial" w:hAnsi="Arial" w:cs="Arial"/>
          <w:b/>
          <w:bCs/>
        </w:rPr>
        <w:t xml:space="preserve">END TERM </w:t>
      </w:r>
      <w:r w:rsidR="004B299C">
        <w:rPr>
          <w:rFonts w:ascii="Arial" w:hAnsi="Arial" w:cs="Arial"/>
          <w:b/>
          <w:bCs/>
        </w:rPr>
        <w:t>IMPROVEMENT</w:t>
      </w:r>
      <w:r w:rsidR="00AB2230" w:rsidRPr="00C11FF5">
        <w:rPr>
          <w:rFonts w:ascii="Arial" w:hAnsi="Arial" w:cs="Arial"/>
          <w:b/>
          <w:bCs/>
        </w:rPr>
        <w:t xml:space="preserve"> EXAM</w:t>
      </w:r>
      <w:r w:rsidR="00AB2230">
        <w:rPr>
          <w:rFonts w:ascii="Arial" w:hAnsi="Arial" w:cs="Arial"/>
          <w:b/>
          <w:bCs/>
        </w:rPr>
        <w:t>INATION</w:t>
      </w:r>
      <w:r w:rsidR="00B30131">
        <w:rPr>
          <w:rFonts w:ascii="Arial" w:hAnsi="Arial" w:cs="Arial"/>
          <w:b/>
          <w:bCs/>
        </w:rPr>
        <w:t xml:space="preserve">, </w:t>
      </w:r>
      <w:r>
        <w:rPr>
          <w:rFonts w:ascii="Arial" w:hAnsi="Arial" w:cs="Arial"/>
          <w:b/>
          <w:bCs/>
        </w:rPr>
        <w:t xml:space="preserve">DEC </w:t>
      </w:r>
      <w:r w:rsidR="00932B7E">
        <w:rPr>
          <w:rFonts w:ascii="Arial" w:hAnsi="Arial" w:cs="Arial"/>
          <w:b/>
          <w:bCs/>
        </w:rPr>
        <w:t>2021</w:t>
      </w:r>
    </w:p>
    <w:p w:rsidR="005E1FE9" w:rsidRDefault="005E1FE9" w:rsidP="00281B0A">
      <w:pPr>
        <w:spacing w:line="240" w:lineRule="auto"/>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rsidTr="00185104">
        <w:trPr>
          <w:trHeight w:val="440"/>
          <w:jc w:val="center"/>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A70FEC" w:rsidP="008A0B7E">
            <w:pPr>
              <w:jc w:val="center"/>
              <w:rPr>
                <w:rFonts w:ascii="Arial" w:hAnsi="Arial" w:cs="Arial"/>
                <w:b/>
                <w:bCs/>
              </w:rPr>
            </w:pPr>
            <w:r>
              <w:rPr>
                <w:rFonts w:ascii="Arial" w:hAnsi="Arial" w:cs="Arial"/>
                <w:b/>
                <w:bCs/>
              </w:rPr>
              <w:t>Supply Chain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4B002B" w:rsidP="008A0B7E">
            <w:pPr>
              <w:jc w:val="center"/>
              <w:rPr>
                <w:rFonts w:ascii="Arial" w:hAnsi="Arial" w:cs="Arial"/>
                <w:b/>
                <w:bCs/>
              </w:rPr>
            </w:pPr>
            <w:r>
              <w:rPr>
                <w:rFonts w:ascii="Arial" w:hAnsi="Arial" w:cs="Arial"/>
                <w:b/>
                <w:bCs/>
              </w:rPr>
              <w:t>OM 401</w:t>
            </w:r>
          </w:p>
        </w:tc>
      </w:tr>
      <w:tr w:rsidR="005E1FE9" w:rsidRPr="00C11FF5" w:rsidTr="00185104">
        <w:trPr>
          <w:trHeight w:val="440"/>
          <w:jc w:val="center"/>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FB5AA7"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FB5AA7" w:rsidP="008A0B7E">
            <w:pPr>
              <w:jc w:val="center"/>
              <w:rPr>
                <w:rFonts w:ascii="Arial" w:hAnsi="Arial" w:cs="Arial"/>
                <w:b/>
                <w:bCs/>
              </w:rPr>
            </w:pPr>
            <w:r>
              <w:rPr>
                <w:rFonts w:ascii="Arial" w:hAnsi="Arial" w:cs="Arial"/>
                <w:b/>
                <w:bCs/>
              </w:rPr>
              <w:t>4</w:t>
            </w:r>
            <w:r w:rsidR="00887B54">
              <w:rPr>
                <w:rFonts w:ascii="Arial" w:hAnsi="Arial" w:cs="Arial"/>
                <w:b/>
                <w:bCs/>
              </w:rPr>
              <w:t>0</w:t>
            </w:r>
          </w:p>
        </w:tc>
      </w:tr>
    </w:tbl>
    <w:p w:rsidR="00185104" w:rsidRDefault="00185104" w:rsidP="005E1FE9">
      <w:pPr>
        <w:spacing w:before="240"/>
        <w:rPr>
          <w:rFonts w:cstheme="minorHAnsi"/>
          <w:b/>
          <w:bCs/>
        </w:rPr>
      </w:pPr>
    </w:p>
    <w:p w:rsidR="005E1FE9" w:rsidRPr="00185104" w:rsidRDefault="005E1FE9" w:rsidP="005E1FE9">
      <w:pPr>
        <w:spacing w:before="240"/>
        <w:rPr>
          <w:rFonts w:cstheme="minorHAnsi"/>
          <w:b/>
        </w:rPr>
      </w:pPr>
      <w:r w:rsidRPr="00185104">
        <w:rPr>
          <w:rFonts w:cstheme="minorHAnsi"/>
          <w:b/>
          <w:bCs/>
        </w:rPr>
        <w:t>INSTRUCTIONS:</w:t>
      </w:r>
      <w:r w:rsidRPr="00185104">
        <w:rPr>
          <w:rFonts w:cstheme="minorHAnsi"/>
          <w:b/>
        </w:rPr>
        <w:t xml:space="preserve"> </w:t>
      </w:r>
    </w:p>
    <w:p w:rsidR="007C2E35" w:rsidRPr="00185104" w:rsidRDefault="00A70FEC" w:rsidP="005E1FE9">
      <w:pPr>
        <w:jc w:val="both"/>
        <w:rPr>
          <w:rFonts w:cstheme="minorHAnsi"/>
          <w:b/>
          <w:i/>
        </w:rPr>
      </w:pPr>
      <w:r w:rsidRPr="00185104">
        <w:rPr>
          <w:rFonts w:cstheme="minorHAnsi"/>
          <w:b/>
          <w:i/>
        </w:rPr>
        <w:t>Students can use</w:t>
      </w:r>
      <w:r w:rsidR="00041017" w:rsidRPr="00185104">
        <w:rPr>
          <w:rFonts w:cstheme="minorHAnsi"/>
          <w:b/>
          <w:i/>
        </w:rPr>
        <w:t xml:space="preserve"> the IT LAB computers</w:t>
      </w:r>
      <w:r w:rsidRPr="00185104">
        <w:rPr>
          <w:rFonts w:cstheme="minorHAnsi"/>
          <w:b/>
          <w:i/>
        </w:rPr>
        <w:t xml:space="preserve"> during the exam which will be restricted to the use of excel sheets only. Use of any other material or internet </w:t>
      </w:r>
      <w:proofErr w:type="gramStart"/>
      <w:r w:rsidRPr="00185104">
        <w:rPr>
          <w:rFonts w:cstheme="minorHAnsi"/>
          <w:b/>
          <w:i/>
        </w:rPr>
        <w:t>is prohibited</w:t>
      </w:r>
      <w:proofErr w:type="gramEnd"/>
      <w:r w:rsidR="007C2E35" w:rsidRPr="00185104">
        <w:rPr>
          <w:rFonts w:cstheme="minorHAnsi"/>
          <w:b/>
          <w:i/>
        </w:rPr>
        <w:t xml:space="preserve"> during the exam</w:t>
      </w:r>
      <w:r w:rsidRPr="00185104">
        <w:rPr>
          <w:rFonts w:cstheme="minorHAnsi"/>
          <w:b/>
          <w:i/>
        </w:rPr>
        <w:t>.</w:t>
      </w:r>
      <w:r w:rsidR="007C2E35" w:rsidRPr="00185104">
        <w:rPr>
          <w:rFonts w:cstheme="minorHAnsi"/>
          <w:b/>
          <w:i/>
        </w:rPr>
        <w:t xml:space="preserve"> </w:t>
      </w:r>
    </w:p>
    <w:p w:rsidR="007C2E35" w:rsidRPr="00185104" w:rsidRDefault="007C2E35" w:rsidP="005E1FE9">
      <w:pPr>
        <w:jc w:val="both"/>
        <w:rPr>
          <w:rFonts w:cstheme="minorHAnsi"/>
          <w:b/>
          <w:i/>
        </w:rPr>
      </w:pPr>
      <w:r w:rsidRPr="00185104">
        <w:rPr>
          <w:rFonts w:cstheme="minorHAnsi"/>
          <w:b/>
          <w:i/>
        </w:rPr>
        <w:t xml:space="preserve">Students have to write the </w:t>
      </w:r>
      <w:proofErr w:type="gramStart"/>
      <w:r w:rsidR="00F867FD" w:rsidRPr="00185104">
        <w:rPr>
          <w:rFonts w:cstheme="minorHAnsi"/>
          <w:b/>
          <w:i/>
        </w:rPr>
        <w:t>step-wise</w:t>
      </w:r>
      <w:proofErr w:type="gramEnd"/>
      <w:r w:rsidR="00F867FD" w:rsidRPr="00185104">
        <w:rPr>
          <w:rFonts w:cstheme="minorHAnsi"/>
          <w:b/>
          <w:i/>
        </w:rPr>
        <w:t xml:space="preserve"> </w:t>
      </w:r>
      <w:r w:rsidRPr="00185104">
        <w:rPr>
          <w:rFonts w:cstheme="minorHAnsi"/>
          <w:b/>
          <w:i/>
        </w:rPr>
        <w:t>excel calculations in the answer sheet only for evaluation purpose.</w:t>
      </w:r>
    </w:p>
    <w:p w:rsidR="005E1FE9" w:rsidRPr="00185104" w:rsidRDefault="005E1FE9" w:rsidP="005E1FE9">
      <w:pPr>
        <w:jc w:val="both"/>
        <w:rPr>
          <w:rFonts w:cstheme="minorHAnsi"/>
        </w:rPr>
      </w:pPr>
      <w:r w:rsidRPr="00185104">
        <w:rPr>
          <w:rFonts w:cstheme="minorHAnsi"/>
        </w:rPr>
        <w:t>………………………………………………………………...…</w:t>
      </w:r>
      <w:r w:rsidR="00185104">
        <w:rPr>
          <w:rFonts w:cstheme="minorHAnsi"/>
        </w:rPr>
        <w:t>……………………………………………………………………………………</w:t>
      </w:r>
      <w:r w:rsidRPr="00185104">
        <w:rPr>
          <w:rFonts w:cstheme="minorHAnsi"/>
        </w:rPr>
        <w:t>………………………</w:t>
      </w:r>
    </w:p>
    <w:p w:rsidR="005E1FE9" w:rsidRPr="00185104" w:rsidRDefault="005E1FE9" w:rsidP="005E1FE9">
      <w:pPr>
        <w:jc w:val="both"/>
        <w:rPr>
          <w:rFonts w:cstheme="minorHAnsi"/>
          <w:b/>
        </w:rPr>
      </w:pPr>
      <w:r w:rsidRPr="00185104">
        <w:rPr>
          <w:rFonts w:cstheme="minorHAnsi"/>
          <w:b/>
          <w:u w:val="single"/>
        </w:rPr>
        <w:t>Questions.1</w:t>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00185104">
        <w:rPr>
          <w:rFonts w:cstheme="minorHAnsi"/>
          <w:b/>
        </w:rPr>
        <w:tab/>
      </w:r>
      <w:r w:rsidR="00185104">
        <w:rPr>
          <w:rFonts w:cstheme="minorHAnsi"/>
          <w:b/>
        </w:rPr>
        <w:tab/>
      </w:r>
      <w:r w:rsidRPr="00185104">
        <w:rPr>
          <w:rFonts w:cstheme="minorHAnsi"/>
          <w:b/>
        </w:rPr>
        <w:t>(</w:t>
      </w:r>
      <w:r w:rsidR="007B7405" w:rsidRPr="00185104">
        <w:rPr>
          <w:rFonts w:cstheme="minorHAnsi"/>
          <w:b/>
        </w:rPr>
        <w:t>10</w:t>
      </w:r>
      <w:r w:rsidR="00185104">
        <w:rPr>
          <w:rFonts w:cstheme="minorHAnsi"/>
          <w:b/>
        </w:rPr>
        <w:t xml:space="preserve"> Marks</w:t>
      </w:r>
      <w:r w:rsidRPr="00185104">
        <w:rPr>
          <w:rFonts w:cstheme="minorHAnsi"/>
          <w:b/>
        </w:rPr>
        <w:t>)</w:t>
      </w:r>
    </w:p>
    <w:p w:rsidR="007B7405" w:rsidRPr="00185104" w:rsidRDefault="007B7405" w:rsidP="007B7405">
      <w:pPr>
        <w:jc w:val="both"/>
        <w:rPr>
          <w:rFonts w:cstheme="minorHAnsi"/>
        </w:rPr>
      </w:pPr>
      <w:proofErr w:type="spellStart"/>
      <w:r w:rsidRPr="00185104">
        <w:rPr>
          <w:rFonts w:cstheme="minorHAnsi"/>
        </w:rPr>
        <w:t>DryIce</w:t>
      </w:r>
      <w:proofErr w:type="spellEnd"/>
      <w:r w:rsidRPr="00185104">
        <w:rPr>
          <w:rFonts w:cstheme="minorHAnsi"/>
        </w:rPr>
        <w:t>, Inc</w:t>
      </w:r>
      <w:proofErr w:type="gramStart"/>
      <w:r w:rsidRPr="00185104">
        <w:rPr>
          <w:rFonts w:cstheme="minorHAnsi"/>
        </w:rPr>
        <w:t>.,</w:t>
      </w:r>
      <w:proofErr w:type="gramEnd"/>
      <w:r w:rsidRPr="00185104">
        <w:rPr>
          <w:rFonts w:cstheme="minorHAnsi"/>
        </w:rPr>
        <w:t xml:space="preserve"> is a manufacturer of air conditioners that has seen its demand grow significantly. The company anticipates nationwide demand for the next year to be 180,000 units in the South, 120,000 units in the Midwest, 110,000 units in the East, and 100,000 units in the West. Managers at </w:t>
      </w:r>
      <w:proofErr w:type="spellStart"/>
      <w:r w:rsidRPr="00185104">
        <w:rPr>
          <w:rFonts w:cstheme="minorHAnsi"/>
        </w:rPr>
        <w:t>DryIce</w:t>
      </w:r>
      <w:proofErr w:type="spellEnd"/>
      <w:r w:rsidRPr="00185104">
        <w:rPr>
          <w:rFonts w:cstheme="minorHAnsi"/>
        </w:rPr>
        <w:t xml:space="preserve"> are designing the manufacturing network and have selected four potential sites—New York, Atlanta, Chicago, and San Diego. Plants could have a capacity of either 200,000 or 400,000 units. The annual fixed costs at the four locations </w:t>
      </w:r>
      <w:proofErr w:type="gramStart"/>
      <w:r w:rsidRPr="00185104">
        <w:rPr>
          <w:rFonts w:cstheme="minorHAnsi"/>
        </w:rPr>
        <w:t>are shown</w:t>
      </w:r>
      <w:proofErr w:type="gramEnd"/>
      <w:r w:rsidRPr="00185104">
        <w:rPr>
          <w:rFonts w:cstheme="minorHAnsi"/>
        </w:rPr>
        <w:t xml:space="preserve"> in the following table, along with the cost of producing and shipping an air conditioner to each of the four markets. Determine where should </w:t>
      </w:r>
      <w:proofErr w:type="spellStart"/>
      <w:r w:rsidRPr="00185104">
        <w:rPr>
          <w:rFonts w:cstheme="minorHAnsi"/>
        </w:rPr>
        <w:t>DryIce</w:t>
      </w:r>
      <w:proofErr w:type="spellEnd"/>
      <w:r w:rsidRPr="00185104">
        <w:rPr>
          <w:rFonts w:cstheme="minorHAnsi"/>
        </w:rPr>
        <w:t xml:space="preserve"> build its factories and how large should they be?</w:t>
      </w:r>
    </w:p>
    <w:tbl>
      <w:tblPr>
        <w:tblW w:w="0" w:type="auto"/>
        <w:jc w:val="center"/>
        <w:tblLayout w:type="fixed"/>
        <w:tblCellMar>
          <w:left w:w="0" w:type="dxa"/>
          <w:right w:w="0" w:type="dxa"/>
        </w:tblCellMar>
        <w:tblLook w:val="01E0" w:firstRow="1" w:lastRow="1" w:firstColumn="1" w:lastColumn="1" w:noHBand="0" w:noVBand="0"/>
      </w:tblPr>
      <w:tblGrid>
        <w:gridCol w:w="1869"/>
        <w:gridCol w:w="1596"/>
        <w:gridCol w:w="1651"/>
        <w:gridCol w:w="1689"/>
        <w:gridCol w:w="1564"/>
      </w:tblGrid>
      <w:tr w:rsidR="007B7405" w:rsidRPr="00185104" w:rsidTr="00185104">
        <w:trPr>
          <w:trHeight w:val="313"/>
          <w:jc w:val="center"/>
        </w:trPr>
        <w:tc>
          <w:tcPr>
            <w:tcW w:w="1869" w:type="dxa"/>
            <w:tcBorders>
              <w:bottom w:val="single" w:sz="4" w:space="0" w:color="231F20"/>
            </w:tcBorders>
          </w:tcPr>
          <w:p w:rsidR="007B7405" w:rsidRPr="00185104" w:rsidRDefault="007B7405" w:rsidP="007B7405">
            <w:pPr>
              <w:widowControl w:val="0"/>
              <w:autoSpaceDE w:val="0"/>
              <w:autoSpaceDN w:val="0"/>
              <w:spacing w:after="0" w:line="240" w:lineRule="auto"/>
              <w:rPr>
                <w:rFonts w:eastAsia="Arial" w:cstheme="minorHAnsi"/>
              </w:rPr>
            </w:pPr>
          </w:p>
        </w:tc>
        <w:tc>
          <w:tcPr>
            <w:tcW w:w="1596" w:type="dxa"/>
            <w:tcBorders>
              <w:bottom w:val="single" w:sz="4" w:space="0" w:color="231F20"/>
            </w:tcBorders>
          </w:tcPr>
          <w:p w:rsidR="007B7405" w:rsidRPr="00185104" w:rsidRDefault="007B7405" w:rsidP="007B7405">
            <w:pPr>
              <w:widowControl w:val="0"/>
              <w:autoSpaceDE w:val="0"/>
              <w:autoSpaceDN w:val="0"/>
              <w:spacing w:after="0" w:line="208" w:lineRule="exact"/>
              <w:ind w:left="305"/>
              <w:rPr>
                <w:rFonts w:eastAsia="Arial" w:cstheme="minorHAnsi"/>
                <w:b/>
              </w:rPr>
            </w:pPr>
            <w:r w:rsidRPr="00185104">
              <w:rPr>
                <w:rFonts w:eastAsia="Arial" w:cstheme="minorHAnsi"/>
                <w:b/>
                <w:w w:val="105"/>
              </w:rPr>
              <w:t>New York</w:t>
            </w:r>
          </w:p>
        </w:tc>
        <w:tc>
          <w:tcPr>
            <w:tcW w:w="1651" w:type="dxa"/>
            <w:tcBorders>
              <w:bottom w:val="single" w:sz="4" w:space="0" w:color="231F20"/>
            </w:tcBorders>
          </w:tcPr>
          <w:p w:rsidR="007B7405" w:rsidRPr="00185104" w:rsidRDefault="007B7405" w:rsidP="007B7405">
            <w:pPr>
              <w:widowControl w:val="0"/>
              <w:autoSpaceDE w:val="0"/>
              <w:autoSpaceDN w:val="0"/>
              <w:spacing w:after="0" w:line="208" w:lineRule="exact"/>
              <w:ind w:left="299"/>
              <w:rPr>
                <w:rFonts w:eastAsia="Arial" w:cstheme="minorHAnsi"/>
                <w:b/>
              </w:rPr>
            </w:pPr>
            <w:r w:rsidRPr="00185104">
              <w:rPr>
                <w:rFonts w:eastAsia="Arial" w:cstheme="minorHAnsi"/>
                <w:b/>
                <w:w w:val="105"/>
              </w:rPr>
              <w:t>Atlanta</w:t>
            </w:r>
          </w:p>
        </w:tc>
        <w:tc>
          <w:tcPr>
            <w:tcW w:w="1689" w:type="dxa"/>
            <w:tcBorders>
              <w:bottom w:val="single" w:sz="4" w:space="0" w:color="231F20"/>
            </w:tcBorders>
          </w:tcPr>
          <w:p w:rsidR="007B7405" w:rsidRPr="00185104" w:rsidRDefault="007B7405" w:rsidP="007B7405">
            <w:pPr>
              <w:widowControl w:val="0"/>
              <w:autoSpaceDE w:val="0"/>
              <w:autoSpaceDN w:val="0"/>
              <w:spacing w:after="0" w:line="208" w:lineRule="exact"/>
              <w:ind w:left="304"/>
              <w:rPr>
                <w:rFonts w:eastAsia="Arial" w:cstheme="minorHAnsi"/>
                <w:b/>
              </w:rPr>
            </w:pPr>
            <w:r w:rsidRPr="00185104">
              <w:rPr>
                <w:rFonts w:eastAsia="Arial" w:cstheme="minorHAnsi"/>
                <w:b/>
                <w:w w:val="105"/>
              </w:rPr>
              <w:t>Chicago</w:t>
            </w:r>
          </w:p>
        </w:tc>
        <w:tc>
          <w:tcPr>
            <w:tcW w:w="1564" w:type="dxa"/>
            <w:tcBorders>
              <w:bottom w:val="single" w:sz="4" w:space="0" w:color="231F20"/>
            </w:tcBorders>
          </w:tcPr>
          <w:p w:rsidR="007B7405" w:rsidRPr="00185104" w:rsidRDefault="007B7405" w:rsidP="007B7405">
            <w:pPr>
              <w:widowControl w:val="0"/>
              <w:autoSpaceDE w:val="0"/>
              <w:autoSpaceDN w:val="0"/>
              <w:spacing w:after="0" w:line="208" w:lineRule="exact"/>
              <w:ind w:left="334"/>
              <w:rPr>
                <w:rFonts w:eastAsia="Arial" w:cstheme="minorHAnsi"/>
                <w:b/>
              </w:rPr>
            </w:pPr>
            <w:r w:rsidRPr="00185104">
              <w:rPr>
                <w:rFonts w:eastAsia="Arial" w:cstheme="minorHAnsi"/>
                <w:b/>
                <w:w w:val="105"/>
              </w:rPr>
              <w:t>San Diego</w:t>
            </w:r>
          </w:p>
        </w:tc>
      </w:tr>
      <w:tr w:rsidR="007B7405" w:rsidRPr="00185104" w:rsidTr="00185104">
        <w:trPr>
          <w:trHeight w:val="547"/>
          <w:jc w:val="center"/>
        </w:trPr>
        <w:tc>
          <w:tcPr>
            <w:tcW w:w="1869" w:type="dxa"/>
            <w:tcBorders>
              <w:top w:val="single" w:sz="4" w:space="0" w:color="231F20"/>
              <w:bottom w:val="single" w:sz="4" w:space="0" w:color="231F20"/>
            </w:tcBorders>
          </w:tcPr>
          <w:p w:rsidR="007B7405" w:rsidRPr="00185104" w:rsidRDefault="007B7405" w:rsidP="007B7405">
            <w:pPr>
              <w:widowControl w:val="0"/>
              <w:autoSpaceDE w:val="0"/>
              <w:autoSpaceDN w:val="0"/>
              <w:spacing w:before="66" w:after="0" w:line="254" w:lineRule="auto"/>
              <w:ind w:left="79" w:right="135"/>
              <w:rPr>
                <w:rFonts w:eastAsia="Arial" w:cstheme="minorHAnsi"/>
              </w:rPr>
            </w:pPr>
            <w:r w:rsidRPr="00185104">
              <w:rPr>
                <w:rFonts w:eastAsia="Arial" w:cstheme="minorHAnsi"/>
              </w:rPr>
              <w:t>Annual fixed cost of 200,000 plant</w:t>
            </w:r>
          </w:p>
        </w:tc>
        <w:tc>
          <w:tcPr>
            <w:tcW w:w="1596" w:type="dxa"/>
            <w:tcBorders>
              <w:top w:val="single" w:sz="4" w:space="0" w:color="231F20"/>
              <w:bottom w:val="single" w:sz="4" w:space="0" w:color="231F20"/>
            </w:tcBorders>
          </w:tcPr>
          <w:p w:rsidR="007B7405" w:rsidRPr="00185104" w:rsidRDefault="007B7405" w:rsidP="007B7405">
            <w:pPr>
              <w:widowControl w:val="0"/>
              <w:autoSpaceDE w:val="0"/>
              <w:autoSpaceDN w:val="0"/>
              <w:spacing w:before="66" w:after="0" w:line="240" w:lineRule="auto"/>
              <w:ind w:left="305"/>
              <w:rPr>
                <w:rFonts w:eastAsia="Arial" w:cstheme="minorHAnsi"/>
              </w:rPr>
            </w:pPr>
            <w:r w:rsidRPr="00185104">
              <w:rPr>
                <w:rFonts w:eastAsia="Arial" w:cstheme="minorHAnsi"/>
              </w:rPr>
              <w:t>$6 million</w:t>
            </w:r>
          </w:p>
        </w:tc>
        <w:tc>
          <w:tcPr>
            <w:tcW w:w="1651" w:type="dxa"/>
            <w:tcBorders>
              <w:top w:val="single" w:sz="4" w:space="0" w:color="231F20"/>
              <w:bottom w:val="single" w:sz="4" w:space="0" w:color="231F20"/>
            </w:tcBorders>
          </w:tcPr>
          <w:p w:rsidR="007B7405" w:rsidRPr="00185104" w:rsidRDefault="007B7405" w:rsidP="007B7405">
            <w:pPr>
              <w:widowControl w:val="0"/>
              <w:autoSpaceDE w:val="0"/>
              <w:autoSpaceDN w:val="0"/>
              <w:spacing w:before="66" w:after="0" w:line="240" w:lineRule="auto"/>
              <w:ind w:left="299"/>
              <w:rPr>
                <w:rFonts w:eastAsia="Arial" w:cstheme="minorHAnsi"/>
              </w:rPr>
            </w:pPr>
            <w:r w:rsidRPr="00185104">
              <w:rPr>
                <w:rFonts w:eastAsia="Arial" w:cstheme="minorHAnsi"/>
              </w:rPr>
              <w:t>$5.5 million</w:t>
            </w:r>
          </w:p>
        </w:tc>
        <w:tc>
          <w:tcPr>
            <w:tcW w:w="1689" w:type="dxa"/>
            <w:tcBorders>
              <w:top w:val="single" w:sz="4" w:space="0" w:color="231F20"/>
              <w:bottom w:val="single" w:sz="4" w:space="0" w:color="231F20"/>
            </w:tcBorders>
          </w:tcPr>
          <w:p w:rsidR="007B7405" w:rsidRPr="00185104" w:rsidRDefault="007B7405" w:rsidP="007B7405">
            <w:pPr>
              <w:widowControl w:val="0"/>
              <w:autoSpaceDE w:val="0"/>
              <w:autoSpaceDN w:val="0"/>
              <w:spacing w:before="66" w:after="0" w:line="240" w:lineRule="auto"/>
              <w:ind w:left="304"/>
              <w:rPr>
                <w:rFonts w:eastAsia="Arial" w:cstheme="minorHAnsi"/>
              </w:rPr>
            </w:pPr>
            <w:r w:rsidRPr="00185104">
              <w:rPr>
                <w:rFonts w:eastAsia="Arial" w:cstheme="minorHAnsi"/>
              </w:rPr>
              <w:t>$5.6 million</w:t>
            </w:r>
          </w:p>
        </w:tc>
        <w:tc>
          <w:tcPr>
            <w:tcW w:w="1564" w:type="dxa"/>
            <w:tcBorders>
              <w:top w:val="single" w:sz="4" w:space="0" w:color="231F20"/>
              <w:bottom w:val="single" w:sz="4" w:space="0" w:color="231F20"/>
            </w:tcBorders>
          </w:tcPr>
          <w:p w:rsidR="007B7405" w:rsidRPr="00185104" w:rsidRDefault="007B7405" w:rsidP="007B7405">
            <w:pPr>
              <w:widowControl w:val="0"/>
              <w:autoSpaceDE w:val="0"/>
              <w:autoSpaceDN w:val="0"/>
              <w:spacing w:before="66" w:after="0" w:line="240" w:lineRule="auto"/>
              <w:ind w:left="334"/>
              <w:rPr>
                <w:rFonts w:eastAsia="Arial" w:cstheme="minorHAnsi"/>
              </w:rPr>
            </w:pPr>
            <w:r w:rsidRPr="00185104">
              <w:rPr>
                <w:rFonts w:eastAsia="Arial" w:cstheme="minorHAnsi"/>
              </w:rPr>
              <w:t>$6.1 million</w:t>
            </w:r>
          </w:p>
        </w:tc>
      </w:tr>
      <w:tr w:rsidR="007B7405" w:rsidRPr="00185104" w:rsidTr="00185104">
        <w:trPr>
          <w:trHeight w:val="542"/>
          <w:jc w:val="center"/>
        </w:trPr>
        <w:tc>
          <w:tcPr>
            <w:tcW w:w="186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54" w:lineRule="auto"/>
              <w:ind w:left="79" w:right="135"/>
              <w:rPr>
                <w:rFonts w:eastAsia="Arial" w:cstheme="minorHAnsi"/>
              </w:rPr>
            </w:pPr>
            <w:r w:rsidRPr="00185104">
              <w:rPr>
                <w:rFonts w:eastAsia="Arial" w:cstheme="minorHAnsi"/>
              </w:rPr>
              <w:t>Annual fixed cost of 400,000 plant</w:t>
            </w:r>
          </w:p>
        </w:tc>
        <w:tc>
          <w:tcPr>
            <w:tcW w:w="1596"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5"/>
              <w:rPr>
                <w:rFonts w:eastAsia="Arial" w:cstheme="minorHAnsi"/>
              </w:rPr>
            </w:pPr>
            <w:r w:rsidRPr="00185104">
              <w:rPr>
                <w:rFonts w:eastAsia="Arial" w:cstheme="minorHAnsi"/>
              </w:rPr>
              <w:t>$10 million</w:t>
            </w:r>
          </w:p>
        </w:tc>
        <w:tc>
          <w:tcPr>
            <w:tcW w:w="1651"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299"/>
              <w:rPr>
                <w:rFonts w:eastAsia="Arial" w:cstheme="minorHAnsi"/>
              </w:rPr>
            </w:pPr>
            <w:r w:rsidRPr="00185104">
              <w:rPr>
                <w:rFonts w:eastAsia="Arial" w:cstheme="minorHAnsi"/>
              </w:rPr>
              <w:t>$9.2 million</w:t>
            </w:r>
          </w:p>
        </w:tc>
        <w:tc>
          <w:tcPr>
            <w:tcW w:w="168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4"/>
              <w:rPr>
                <w:rFonts w:eastAsia="Arial" w:cstheme="minorHAnsi"/>
              </w:rPr>
            </w:pPr>
            <w:r w:rsidRPr="00185104">
              <w:rPr>
                <w:rFonts w:eastAsia="Arial" w:cstheme="minorHAnsi"/>
              </w:rPr>
              <w:t>$9.3 million</w:t>
            </w:r>
          </w:p>
        </w:tc>
        <w:tc>
          <w:tcPr>
            <w:tcW w:w="1564"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34"/>
              <w:rPr>
                <w:rFonts w:eastAsia="Arial" w:cstheme="minorHAnsi"/>
              </w:rPr>
            </w:pPr>
            <w:r w:rsidRPr="00185104">
              <w:rPr>
                <w:rFonts w:eastAsia="Arial" w:cstheme="minorHAnsi"/>
              </w:rPr>
              <w:t>$10.2 million</w:t>
            </w:r>
          </w:p>
        </w:tc>
      </w:tr>
      <w:tr w:rsidR="007B7405" w:rsidRPr="00185104" w:rsidTr="00185104">
        <w:trPr>
          <w:trHeight w:val="315"/>
          <w:jc w:val="center"/>
        </w:trPr>
        <w:tc>
          <w:tcPr>
            <w:tcW w:w="186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79"/>
              <w:rPr>
                <w:rFonts w:eastAsia="Arial" w:cstheme="minorHAnsi"/>
              </w:rPr>
            </w:pPr>
            <w:r w:rsidRPr="00185104">
              <w:rPr>
                <w:rFonts w:eastAsia="Arial" w:cstheme="minorHAnsi"/>
                <w:w w:val="95"/>
              </w:rPr>
              <w:t>East</w:t>
            </w:r>
          </w:p>
        </w:tc>
        <w:tc>
          <w:tcPr>
            <w:tcW w:w="1596"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5"/>
              <w:rPr>
                <w:rFonts w:eastAsia="Arial" w:cstheme="minorHAnsi"/>
              </w:rPr>
            </w:pPr>
            <w:r w:rsidRPr="00185104">
              <w:rPr>
                <w:rFonts w:eastAsia="Arial" w:cstheme="minorHAnsi"/>
              </w:rPr>
              <w:t>$211</w:t>
            </w:r>
          </w:p>
        </w:tc>
        <w:tc>
          <w:tcPr>
            <w:tcW w:w="1651"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299"/>
              <w:rPr>
                <w:rFonts w:eastAsia="Arial" w:cstheme="minorHAnsi"/>
              </w:rPr>
            </w:pPr>
            <w:r w:rsidRPr="00185104">
              <w:rPr>
                <w:rFonts w:eastAsia="Arial" w:cstheme="minorHAnsi"/>
              </w:rPr>
              <w:t>$232</w:t>
            </w:r>
          </w:p>
        </w:tc>
        <w:tc>
          <w:tcPr>
            <w:tcW w:w="168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4"/>
              <w:rPr>
                <w:rFonts w:eastAsia="Arial" w:cstheme="minorHAnsi"/>
              </w:rPr>
            </w:pPr>
            <w:r w:rsidRPr="00185104">
              <w:rPr>
                <w:rFonts w:eastAsia="Arial" w:cstheme="minorHAnsi"/>
              </w:rPr>
              <w:t>$238</w:t>
            </w:r>
          </w:p>
        </w:tc>
        <w:tc>
          <w:tcPr>
            <w:tcW w:w="1564"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34"/>
              <w:rPr>
                <w:rFonts w:eastAsia="Arial" w:cstheme="minorHAnsi"/>
              </w:rPr>
            </w:pPr>
            <w:r w:rsidRPr="00185104">
              <w:rPr>
                <w:rFonts w:eastAsia="Arial" w:cstheme="minorHAnsi"/>
              </w:rPr>
              <w:t>$299</w:t>
            </w:r>
          </w:p>
        </w:tc>
      </w:tr>
      <w:tr w:rsidR="007B7405" w:rsidRPr="00185104" w:rsidTr="00185104">
        <w:trPr>
          <w:trHeight w:val="315"/>
          <w:jc w:val="center"/>
        </w:trPr>
        <w:tc>
          <w:tcPr>
            <w:tcW w:w="186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79"/>
              <w:rPr>
                <w:rFonts w:eastAsia="Arial" w:cstheme="minorHAnsi"/>
              </w:rPr>
            </w:pPr>
            <w:r w:rsidRPr="00185104">
              <w:rPr>
                <w:rFonts w:eastAsia="Arial" w:cstheme="minorHAnsi"/>
              </w:rPr>
              <w:t>South</w:t>
            </w:r>
          </w:p>
        </w:tc>
        <w:tc>
          <w:tcPr>
            <w:tcW w:w="1596"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5"/>
              <w:rPr>
                <w:rFonts w:eastAsia="Arial" w:cstheme="minorHAnsi"/>
              </w:rPr>
            </w:pPr>
            <w:r w:rsidRPr="00185104">
              <w:rPr>
                <w:rFonts w:eastAsia="Arial" w:cstheme="minorHAnsi"/>
              </w:rPr>
              <w:t>$232</w:t>
            </w:r>
          </w:p>
        </w:tc>
        <w:tc>
          <w:tcPr>
            <w:tcW w:w="1651"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299"/>
              <w:rPr>
                <w:rFonts w:eastAsia="Arial" w:cstheme="minorHAnsi"/>
              </w:rPr>
            </w:pPr>
            <w:r w:rsidRPr="00185104">
              <w:rPr>
                <w:rFonts w:eastAsia="Arial" w:cstheme="minorHAnsi"/>
              </w:rPr>
              <w:t>$212</w:t>
            </w:r>
          </w:p>
        </w:tc>
        <w:tc>
          <w:tcPr>
            <w:tcW w:w="168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4"/>
              <w:rPr>
                <w:rFonts w:eastAsia="Arial" w:cstheme="minorHAnsi"/>
              </w:rPr>
            </w:pPr>
            <w:r w:rsidRPr="00185104">
              <w:rPr>
                <w:rFonts w:eastAsia="Arial" w:cstheme="minorHAnsi"/>
              </w:rPr>
              <w:t>$230</w:t>
            </w:r>
          </w:p>
        </w:tc>
        <w:tc>
          <w:tcPr>
            <w:tcW w:w="1564"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34"/>
              <w:rPr>
                <w:rFonts w:eastAsia="Arial" w:cstheme="minorHAnsi"/>
              </w:rPr>
            </w:pPr>
            <w:r w:rsidRPr="00185104">
              <w:rPr>
                <w:rFonts w:eastAsia="Arial" w:cstheme="minorHAnsi"/>
              </w:rPr>
              <w:t>$280</w:t>
            </w:r>
          </w:p>
        </w:tc>
      </w:tr>
      <w:tr w:rsidR="007B7405" w:rsidRPr="00185104" w:rsidTr="00185104">
        <w:trPr>
          <w:trHeight w:val="315"/>
          <w:jc w:val="center"/>
        </w:trPr>
        <w:tc>
          <w:tcPr>
            <w:tcW w:w="186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79"/>
              <w:rPr>
                <w:rFonts w:eastAsia="Arial" w:cstheme="minorHAnsi"/>
              </w:rPr>
            </w:pPr>
            <w:r w:rsidRPr="00185104">
              <w:rPr>
                <w:rFonts w:eastAsia="Arial" w:cstheme="minorHAnsi"/>
              </w:rPr>
              <w:t>Midwest</w:t>
            </w:r>
          </w:p>
        </w:tc>
        <w:tc>
          <w:tcPr>
            <w:tcW w:w="1596"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5"/>
              <w:rPr>
                <w:rFonts w:eastAsia="Arial" w:cstheme="minorHAnsi"/>
              </w:rPr>
            </w:pPr>
            <w:r w:rsidRPr="00185104">
              <w:rPr>
                <w:rFonts w:eastAsia="Arial" w:cstheme="minorHAnsi"/>
              </w:rPr>
              <w:t>$240</w:t>
            </w:r>
          </w:p>
        </w:tc>
        <w:tc>
          <w:tcPr>
            <w:tcW w:w="1651"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299"/>
              <w:rPr>
                <w:rFonts w:eastAsia="Arial" w:cstheme="minorHAnsi"/>
              </w:rPr>
            </w:pPr>
            <w:r w:rsidRPr="00185104">
              <w:rPr>
                <w:rFonts w:eastAsia="Arial" w:cstheme="minorHAnsi"/>
              </w:rPr>
              <w:t>$230</w:t>
            </w:r>
          </w:p>
        </w:tc>
        <w:tc>
          <w:tcPr>
            <w:tcW w:w="1689"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04"/>
              <w:rPr>
                <w:rFonts w:eastAsia="Arial" w:cstheme="minorHAnsi"/>
              </w:rPr>
            </w:pPr>
            <w:r w:rsidRPr="00185104">
              <w:rPr>
                <w:rFonts w:eastAsia="Arial" w:cstheme="minorHAnsi"/>
              </w:rPr>
              <w:t>$215</w:t>
            </w:r>
          </w:p>
        </w:tc>
        <w:tc>
          <w:tcPr>
            <w:tcW w:w="1564" w:type="dxa"/>
            <w:tcBorders>
              <w:top w:val="single" w:sz="4" w:space="0" w:color="231F20"/>
              <w:bottom w:val="single" w:sz="4" w:space="0" w:color="231F20"/>
            </w:tcBorders>
          </w:tcPr>
          <w:p w:rsidR="007B7405" w:rsidRPr="00185104" w:rsidRDefault="007B7405" w:rsidP="007B7405">
            <w:pPr>
              <w:widowControl w:val="0"/>
              <w:autoSpaceDE w:val="0"/>
              <w:autoSpaceDN w:val="0"/>
              <w:spacing w:before="61" w:after="0" w:line="240" w:lineRule="auto"/>
              <w:ind w:left="334"/>
              <w:rPr>
                <w:rFonts w:eastAsia="Arial" w:cstheme="minorHAnsi"/>
              </w:rPr>
            </w:pPr>
            <w:r w:rsidRPr="00185104">
              <w:rPr>
                <w:rFonts w:eastAsia="Arial" w:cstheme="minorHAnsi"/>
              </w:rPr>
              <w:t>$270</w:t>
            </w:r>
          </w:p>
        </w:tc>
      </w:tr>
      <w:tr w:rsidR="007B7405" w:rsidRPr="00185104" w:rsidTr="00185104">
        <w:trPr>
          <w:trHeight w:val="351"/>
          <w:jc w:val="center"/>
        </w:trPr>
        <w:tc>
          <w:tcPr>
            <w:tcW w:w="1869" w:type="dxa"/>
            <w:tcBorders>
              <w:top w:val="single" w:sz="4" w:space="0" w:color="231F20"/>
              <w:bottom w:val="single" w:sz="8" w:space="0" w:color="231F20"/>
            </w:tcBorders>
          </w:tcPr>
          <w:p w:rsidR="007B7405" w:rsidRPr="00185104" w:rsidRDefault="007B7405" w:rsidP="007B7405">
            <w:pPr>
              <w:widowControl w:val="0"/>
              <w:autoSpaceDE w:val="0"/>
              <w:autoSpaceDN w:val="0"/>
              <w:spacing w:before="61" w:after="0" w:line="240" w:lineRule="auto"/>
              <w:ind w:left="79"/>
              <w:rPr>
                <w:rFonts w:eastAsia="Arial" w:cstheme="minorHAnsi"/>
              </w:rPr>
            </w:pPr>
            <w:r w:rsidRPr="00185104">
              <w:rPr>
                <w:rFonts w:eastAsia="Arial" w:cstheme="minorHAnsi"/>
              </w:rPr>
              <w:t>West</w:t>
            </w:r>
          </w:p>
        </w:tc>
        <w:tc>
          <w:tcPr>
            <w:tcW w:w="1596" w:type="dxa"/>
            <w:tcBorders>
              <w:top w:val="single" w:sz="4" w:space="0" w:color="231F20"/>
              <w:bottom w:val="single" w:sz="8" w:space="0" w:color="231F20"/>
            </w:tcBorders>
          </w:tcPr>
          <w:p w:rsidR="007B7405" w:rsidRPr="00185104" w:rsidRDefault="007B7405" w:rsidP="007B7405">
            <w:pPr>
              <w:widowControl w:val="0"/>
              <w:autoSpaceDE w:val="0"/>
              <w:autoSpaceDN w:val="0"/>
              <w:spacing w:before="61" w:after="0" w:line="240" w:lineRule="auto"/>
              <w:ind w:left="305"/>
              <w:rPr>
                <w:rFonts w:eastAsia="Arial" w:cstheme="minorHAnsi"/>
              </w:rPr>
            </w:pPr>
            <w:r w:rsidRPr="00185104">
              <w:rPr>
                <w:rFonts w:eastAsia="Arial" w:cstheme="minorHAnsi"/>
              </w:rPr>
              <w:t>$300</w:t>
            </w:r>
          </w:p>
        </w:tc>
        <w:tc>
          <w:tcPr>
            <w:tcW w:w="1651" w:type="dxa"/>
            <w:tcBorders>
              <w:top w:val="single" w:sz="4" w:space="0" w:color="231F20"/>
              <w:bottom w:val="single" w:sz="8" w:space="0" w:color="231F20"/>
            </w:tcBorders>
          </w:tcPr>
          <w:p w:rsidR="007B7405" w:rsidRPr="00185104" w:rsidRDefault="007B7405" w:rsidP="007B7405">
            <w:pPr>
              <w:widowControl w:val="0"/>
              <w:autoSpaceDE w:val="0"/>
              <w:autoSpaceDN w:val="0"/>
              <w:spacing w:before="61" w:after="0" w:line="240" w:lineRule="auto"/>
              <w:ind w:left="299"/>
              <w:rPr>
                <w:rFonts w:eastAsia="Arial" w:cstheme="minorHAnsi"/>
              </w:rPr>
            </w:pPr>
            <w:r w:rsidRPr="00185104">
              <w:rPr>
                <w:rFonts w:eastAsia="Arial" w:cstheme="minorHAnsi"/>
              </w:rPr>
              <w:t>$280</w:t>
            </w:r>
          </w:p>
        </w:tc>
        <w:tc>
          <w:tcPr>
            <w:tcW w:w="1689" w:type="dxa"/>
            <w:tcBorders>
              <w:top w:val="single" w:sz="4" w:space="0" w:color="231F20"/>
              <w:bottom w:val="single" w:sz="8" w:space="0" w:color="231F20"/>
            </w:tcBorders>
          </w:tcPr>
          <w:p w:rsidR="007B7405" w:rsidRPr="00185104" w:rsidRDefault="007B7405" w:rsidP="007B7405">
            <w:pPr>
              <w:widowControl w:val="0"/>
              <w:autoSpaceDE w:val="0"/>
              <w:autoSpaceDN w:val="0"/>
              <w:spacing w:before="61" w:after="0" w:line="240" w:lineRule="auto"/>
              <w:ind w:left="304"/>
              <w:rPr>
                <w:rFonts w:eastAsia="Arial" w:cstheme="minorHAnsi"/>
              </w:rPr>
            </w:pPr>
            <w:r w:rsidRPr="00185104">
              <w:rPr>
                <w:rFonts w:eastAsia="Arial" w:cstheme="minorHAnsi"/>
              </w:rPr>
              <w:t>$270</w:t>
            </w:r>
          </w:p>
        </w:tc>
        <w:tc>
          <w:tcPr>
            <w:tcW w:w="1564" w:type="dxa"/>
            <w:tcBorders>
              <w:top w:val="single" w:sz="4" w:space="0" w:color="231F20"/>
              <w:bottom w:val="single" w:sz="8" w:space="0" w:color="231F20"/>
            </w:tcBorders>
          </w:tcPr>
          <w:p w:rsidR="007B7405" w:rsidRPr="00185104" w:rsidRDefault="007B7405" w:rsidP="007B7405">
            <w:pPr>
              <w:widowControl w:val="0"/>
              <w:autoSpaceDE w:val="0"/>
              <w:autoSpaceDN w:val="0"/>
              <w:spacing w:before="61" w:after="0" w:line="240" w:lineRule="auto"/>
              <w:ind w:left="334"/>
              <w:rPr>
                <w:rFonts w:eastAsia="Arial" w:cstheme="minorHAnsi"/>
              </w:rPr>
            </w:pPr>
            <w:r w:rsidRPr="00185104">
              <w:rPr>
                <w:rFonts w:eastAsia="Arial" w:cstheme="minorHAnsi"/>
              </w:rPr>
              <w:t>$225</w:t>
            </w:r>
          </w:p>
        </w:tc>
      </w:tr>
    </w:tbl>
    <w:p w:rsidR="007B7405" w:rsidRPr="00185104" w:rsidRDefault="007B7405" w:rsidP="005E1FE9">
      <w:pPr>
        <w:jc w:val="both"/>
        <w:rPr>
          <w:rFonts w:cstheme="minorHAnsi"/>
          <w:b/>
        </w:rPr>
      </w:pPr>
    </w:p>
    <w:p w:rsidR="006C36C2" w:rsidRDefault="006C36C2" w:rsidP="005E1FE9">
      <w:pPr>
        <w:jc w:val="both"/>
        <w:rPr>
          <w:rFonts w:cstheme="minorHAnsi"/>
          <w:b/>
        </w:rPr>
      </w:pPr>
    </w:p>
    <w:p w:rsidR="00185104" w:rsidRDefault="00185104" w:rsidP="005E1FE9">
      <w:pPr>
        <w:jc w:val="both"/>
        <w:rPr>
          <w:rFonts w:cstheme="minorHAnsi"/>
          <w:b/>
        </w:rPr>
      </w:pPr>
    </w:p>
    <w:p w:rsidR="005D63B5" w:rsidRPr="00185104" w:rsidRDefault="005D63B5" w:rsidP="005D63B5">
      <w:pPr>
        <w:jc w:val="both"/>
        <w:rPr>
          <w:rFonts w:cstheme="minorHAnsi"/>
        </w:rPr>
      </w:pPr>
      <w:bookmarkStart w:id="0" w:name="_GoBack"/>
      <w:bookmarkEnd w:id="0"/>
      <w:r w:rsidRPr="00185104">
        <w:rPr>
          <w:rFonts w:cstheme="minorHAnsi"/>
          <w:b/>
          <w:u w:val="single"/>
        </w:rPr>
        <w:lastRenderedPageBreak/>
        <w:t>Questions.2</w:t>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00185104">
        <w:rPr>
          <w:rFonts w:cstheme="minorHAnsi"/>
          <w:b/>
        </w:rPr>
        <w:tab/>
      </w:r>
      <w:r w:rsidRPr="00185104">
        <w:rPr>
          <w:rFonts w:cstheme="minorHAnsi"/>
          <w:b/>
        </w:rPr>
        <w:t>(5+5</w:t>
      </w:r>
      <w:r w:rsidR="00185104">
        <w:rPr>
          <w:rFonts w:cstheme="minorHAnsi"/>
          <w:b/>
        </w:rPr>
        <w:t>= 10 Marks</w:t>
      </w:r>
      <w:r w:rsidRPr="00185104">
        <w:rPr>
          <w:rFonts w:cstheme="minorHAnsi"/>
          <w:b/>
        </w:rPr>
        <w:t>)</w:t>
      </w:r>
    </w:p>
    <w:p w:rsidR="005D63B5" w:rsidRPr="00185104" w:rsidRDefault="005D63B5" w:rsidP="005D63B5">
      <w:pPr>
        <w:jc w:val="both"/>
        <w:rPr>
          <w:rFonts w:cstheme="minorHAnsi"/>
          <w:lang w:val="en-IN"/>
        </w:rPr>
      </w:pPr>
      <w:r w:rsidRPr="00185104">
        <w:rPr>
          <w:rFonts w:cstheme="minorHAnsi"/>
        </w:rPr>
        <w:t>Walmart is one of the world’s leading multinational retail corporations with a huge turnover. It delivers quality merchandise for the lowest prices possible. Besides building a reputation, it always maintains a high position in terms of strong logistics, </w:t>
      </w:r>
      <w:hyperlink r:id="rId5" w:history="1">
        <w:r w:rsidRPr="00185104">
          <w:rPr>
            <w:rStyle w:val="Hyperlink"/>
            <w:rFonts w:cstheme="minorHAnsi"/>
            <w:color w:val="auto"/>
            <w:u w:val="none"/>
          </w:rPr>
          <w:t>supply chain management</w:t>
        </w:r>
      </w:hyperlink>
      <w:r w:rsidRPr="00185104">
        <w:rPr>
          <w:rFonts w:cstheme="minorHAnsi"/>
        </w:rPr>
        <w:t xml:space="preserve">, and efficiency. Walmart boasts over 11,700 stores and serves about 270 million customers. Its business strategy </w:t>
      </w:r>
      <w:proofErr w:type="gramStart"/>
      <w:r w:rsidRPr="00185104">
        <w:rPr>
          <w:rFonts w:cstheme="minorHAnsi"/>
        </w:rPr>
        <w:t>is mainly based</w:t>
      </w:r>
      <w:proofErr w:type="gramEnd"/>
      <w:r w:rsidRPr="00185104">
        <w:rPr>
          <w:rFonts w:cstheme="minorHAnsi"/>
        </w:rPr>
        <w:t xml:space="preserve"> on “</w:t>
      </w:r>
      <w:r w:rsidRPr="00185104">
        <w:rPr>
          <w:rFonts w:cstheme="minorHAnsi"/>
          <w:i/>
          <w:iCs/>
        </w:rPr>
        <w:t>being competitive in terms of assortment, differentiating with the way people access, leading in terms of price, and delivering an incredible experience with the motto of EDLP (Every Day Low Prices)</w:t>
      </w:r>
      <w:r w:rsidRPr="00185104">
        <w:rPr>
          <w:rFonts w:cstheme="minorHAnsi"/>
        </w:rPr>
        <w:t>.”</w:t>
      </w:r>
      <w:r w:rsidRPr="00185104">
        <w:rPr>
          <w:rFonts w:cstheme="minorHAnsi"/>
          <w:color w:val="121416"/>
          <w:shd w:val="clear" w:color="auto" w:fill="FFFFFF"/>
        </w:rPr>
        <w:t xml:space="preserve"> </w:t>
      </w:r>
      <w:r w:rsidRPr="00185104">
        <w:rPr>
          <w:rFonts w:cstheme="minorHAnsi"/>
        </w:rPr>
        <w:t>Walmart boasts more than 150 distribution centers and is the main hubs of its business. Its distribution operation is world’s one of the most prominent activities, servicing clubs, direct deliveries, and stores to the customers.</w:t>
      </w:r>
      <w:r w:rsidRPr="00185104">
        <w:rPr>
          <w:rFonts w:eastAsia="Times New Roman" w:cstheme="minorHAnsi"/>
          <w:color w:val="121416"/>
          <w:lang w:val="en-IN" w:eastAsia="en-IN"/>
        </w:rPr>
        <w:t xml:space="preserve"> </w:t>
      </w:r>
      <w:r w:rsidRPr="00185104">
        <w:rPr>
          <w:rFonts w:cstheme="minorHAnsi"/>
          <w:lang w:val="en-IN"/>
        </w:rPr>
        <w:t xml:space="preserve">Every distribution centre measures over 1 million sq. ft. and has more than 600 personnel unloading as well as shipping on 200+ trailers on a daily basis. Each distribution centre </w:t>
      </w:r>
      <w:proofErr w:type="gramStart"/>
      <w:r w:rsidRPr="00185104">
        <w:rPr>
          <w:rFonts w:cstheme="minorHAnsi"/>
          <w:lang w:val="en-IN"/>
        </w:rPr>
        <w:t>is built</w:t>
      </w:r>
      <w:proofErr w:type="gramEnd"/>
      <w:r w:rsidRPr="00185104">
        <w:rPr>
          <w:rFonts w:cstheme="minorHAnsi"/>
          <w:lang w:val="en-IN"/>
        </w:rPr>
        <w:t xml:space="preserve"> across a radius of 150 or more miles and can hold 90 – 100 stores in it.</w:t>
      </w:r>
    </w:p>
    <w:p w:rsidR="00FE10F8" w:rsidRPr="00185104" w:rsidRDefault="00FE10F8" w:rsidP="00FE10F8">
      <w:pPr>
        <w:jc w:val="both"/>
        <w:rPr>
          <w:rFonts w:cstheme="minorHAnsi"/>
          <w:lang w:val="en-IN"/>
        </w:rPr>
      </w:pPr>
      <w:r w:rsidRPr="00185104">
        <w:rPr>
          <w:rFonts w:cstheme="minorHAnsi"/>
          <w:lang w:val="en-IN"/>
        </w:rPr>
        <w:t xml:space="preserve">a) Illustrate with arguments to support the statement that Walmart has achieved good strategic fit between its competitive and supply chain strategies. </w:t>
      </w:r>
    </w:p>
    <w:p w:rsidR="005D63B5" w:rsidRPr="00185104" w:rsidRDefault="00FE10F8" w:rsidP="00FE10F8">
      <w:pPr>
        <w:jc w:val="both"/>
        <w:rPr>
          <w:rFonts w:cstheme="minorHAnsi"/>
        </w:rPr>
      </w:pPr>
      <w:r w:rsidRPr="00185104">
        <w:rPr>
          <w:rFonts w:cstheme="minorHAnsi"/>
          <w:lang w:val="en-IN"/>
        </w:rPr>
        <w:t>b) Demonstrate the challenges does it would face as it also plans to open smaller format stores in urban environments?</w:t>
      </w:r>
    </w:p>
    <w:p w:rsidR="005D63B5" w:rsidRPr="00185104" w:rsidRDefault="00877A72" w:rsidP="005E1FE9">
      <w:pPr>
        <w:jc w:val="both"/>
        <w:rPr>
          <w:rFonts w:cstheme="minorHAnsi"/>
          <w:b/>
        </w:rPr>
      </w:pPr>
      <w:r w:rsidRPr="00185104">
        <w:rPr>
          <w:rFonts w:cstheme="minorHAnsi"/>
          <w:b/>
          <w:u w:val="single"/>
        </w:rPr>
        <w:t>Questions.3</w:t>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00185104">
        <w:rPr>
          <w:rFonts w:cstheme="minorHAnsi"/>
          <w:b/>
        </w:rPr>
        <w:tab/>
      </w:r>
      <w:r w:rsidRPr="00185104">
        <w:rPr>
          <w:rFonts w:cstheme="minorHAnsi"/>
          <w:b/>
        </w:rPr>
        <w:t>(5+5</w:t>
      </w:r>
      <w:r w:rsidR="00185104">
        <w:rPr>
          <w:rFonts w:cstheme="minorHAnsi"/>
          <w:b/>
        </w:rPr>
        <w:t>=10 Marks</w:t>
      </w:r>
      <w:r w:rsidRPr="00185104">
        <w:rPr>
          <w:rFonts w:cstheme="minorHAnsi"/>
          <w:b/>
        </w:rPr>
        <w:t>)</w:t>
      </w:r>
    </w:p>
    <w:p w:rsidR="00877A72" w:rsidRPr="00185104" w:rsidRDefault="00877A72" w:rsidP="00877A72">
      <w:pPr>
        <w:jc w:val="both"/>
        <w:rPr>
          <w:rFonts w:cstheme="minorHAnsi"/>
          <w:lang w:val="en-IN"/>
        </w:rPr>
      </w:pPr>
      <w:r w:rsidRPr="00185104">
        <w:rPr>
          <w:rFonts w:cstheme="minorHAnsi"/>
          <w:lang w:val="en-IN"/>
        </w:rPr>
        <w:t xml:space="preserve">There is a huge problem in the diamonds industry when it comes to the working conditions under which they </w:t>
      </w:r>
      <w:proofErr w:type="gramStart"/>
      <w:r w:rsidRPr="00185104">
        <w:rPr>
          <w:rFonts w:cstheme="minorHAnsi"/>
          <w:lang w:val="en-IN"/>
        </w:rPr>
        <w:t>are extracted</w:t>
      </w:r>
      <w:proofErr w:type="gramEnd"/>
      <w:r w:rsidRPr="00185104">
        <w:rPr>
          <w:rFonts w:cstheme="minorHAnsi"/>
          <w:lang w:val="en-IN"/>
        </w:rPr>
        <w:t xml:space="preserve">. Most of the times, diamonds are mined under violent circumstances or in unsuitable conditions. The biggest producers are, of course, in Africa. In the continent, sales of diamonds often serve for funding various conflicts in the region. On the bright side, De Beers, the world’s largest diamond producer, wants to put an end to this with the help of a </w:t>
      </w:r>
      <w:proofErr w:type="spellStart"/>
      <w:proofErr w:type="gramStart"/>
      <w:r w:rsidRPr="00185104">
        <w:rPr>
          <w:rFonts w:cstheme="minorHAnsi"/>
          <w:lang w:val="en-IN"/>
        </w:rPr>
        <w:t>blockchain</w:t>
      </w:r>
      <w:proofErr w:type="spellEnd"/>
      <w:r w:rsidRPr="00185104">
        <w:rPr>
          <w:rFonts w:cstheme="minorHAnsi"/>
          <w:lang w:val="en-IN"/>
        </w:rPr>
        <w:t xml:space="preserve"> supply chain program</w:t>
      </w:r>
      <w:proofErr w:type="gramEnd"/>
      <w:r w:rsidRPr="00185104">
        <w:rPr>
          <w:rFonts w:cstheme="minorHAnsi"/>
          <w:lang w:val="en-IN"/>
        </w:rPr>
        <w:t xml:space="preserve">. Their program, </w:t>
      </w:r>
      <w:proofErr w:type="spellStart"/>
      <w:r w:rsidRPr="00185104">
        <w:rPr>
          <w:rFonts w:cstheme="minorHAnsi"/>
          <w:lang w:val="en-IN"/>
        </w:rPr>
        <w:t>Tracr</w:t>
      </w:r>
      <w:proofErr w:type="spellEnd"/>
      <w:r w:rsidRPr="00185104">
        <w:rPr>
          <w:rFonts w:cstheme="minorHAnsi"/>
          <w:lang w:val="en-IN"/>
        </w:rPr>
        <w:t xml:space="preserve">, successfully tracked 100 diamonds from mine trough the cutter and polisher, up to the </w:t>
      </w:r>
      <w:proofErr w:type="spellStart"/>
      <w:r w:rsidRPr="00185104">
        <w:rPr>
          <w:rFonts w:cstheme="minorHAnsi"/>
          <w:lang w:val="en-IN"/>
        </w:rPr>
        <w:t>jeweler</w:t>
      </w:r>
      <w:proofErr w:type="spellEnd"/>
      <w:r w:rsidRPr="00185104">
        <w:rPr>
          <w:rFonts w:cstheme="minorHAnsi"/>
          <w:lang w:val="en-IN"/>
        </w:rPr>
        <w:t xml:space="preserve">. In this program, actors in the </w:t>
      </w:r>
      <w:proofErr w:type="spellStart"/>
      <w:r w:rsidRPr="00185104">
        <w:rPr>
          <w:rFonts w:cstheme="minorHAnsi"/>
          <w:lang w:val="en-IN"/>
        </w:rPr>
        <w:t>blockchain</w:t>
      </w:r>
      <w:proofErr w:type="spellEnd"/>
      <w:r w:rsidRPr="00185104">
        <w:rPr>
          <w:rFonts w:cstheme="minorHAnsi"/>
          <w:lang w:val="en-IN"/>
        </w:rPr>
        <w:t xml:space="preserve"> upload photos and information regarding the </w:t>
      </w:r>
      <w:proofErr w:type="spellStart"/>
      <w:r w:rsidRPr="00185104">
        <w:rPr>
          <w:rFonts w:cstheme="minorHAnsi"/>
          <w:lang w:val="en-IN"/>
        </w:rPr>
        <w:t>color</w:t>
      </w:r>
      <w:proofErr w:type="spellEnd"/>
      <w:r w:rsidRPr="00185104">
        <w:rPr>
          <w:rFonts w:cstheme="minorHAnsi"/>
          <w:lang w:val="en-IN"/>
        </w:rPr>
        <w:t xml:space="preserve">, quality and location of a processed diamond. More importantly, introducing </w:t>
      </w:r>
      <w:proofErr w:type="spellStart"/>
      <w:r w:rsidRPr="00185104">
        <w:rPr>
          <w:rFonts w:cstheme="minorHAnsi"/>
          <w:lang w:val="en-IN"/>
        </w:rPr>
        <w:t>Tracr</w:t>
      </w:r>
      <w:proofErr w:type="spellEnd"/>
      <w:r w:rsidRPr="00185104">
        <w:rPr>
          <w:rFonts w:cstheme="minorHAnsi"/>
          <w:lang w:val="en-IN"/>
        </w:rPr>
        <w:t xml:space="preserve"> to the diamond industry can prevent illegal actions when mining for diamonds all over the world.</w:t>
      </w:r>
    </w:p>
    <w:p w:rsidR="003A70C7" w:rsidRPr="00185104" w:rsidRDefault="00877A72" w:rsidP="00877A72">
      <w:pPr>
        <w:jc w:val="both"/>
        <w:rPr>
          <w:rFonts w:cstheme="minorHAnsi"/>
          <w:lang w:val="en-IN"/>
        </w:rPr>
      </w:pPr>
      <w:r w:rsidRPr="00185104">
        <w:rPr>
          <w:rFonts w:cstheme="minorHAnsi"/>
          <w:lang w:val="en-IN"/>
        </w:rPr>
        <w:t xml:space="preserve">In the light of the above scenario, </w:t>
      </w:r>
    </w:p>
    <w:p w:rsidR="003A70C7" w:rsidRPr="00185104" w:rsidRDefault="003A70C7" w:rsidP="00877A72">
      <w:pPr>
        <w:jc w:val="both"/>
        <w:rPr>
          <w:rFonts w:cstheme="minorHAnsi"/>
          <w:lang w:val="en-IN"/>
        </w:rPr>
      </w:pPr>
      <w:r w:rsidRPr="00185104">
        <w:rPr>
          <w:rFonts w:cstheme="minorHAnsi"/>
          <w:lang w:val="en-IN"/>
        </w:rPr>
        <w:t xml:space="preserve">a) </w:t>
      </w:r>
      <w:r w:rsidR="006C36C2" w:rsidRPr="00185104">
        <w:rPr>
          <w:rFonts w:cstheme="minorHAnsi"/>
          <w:lang w:val="en-IN"/>
        </w:rPr>
        <w:t>E</w:t>
      </w:r>
      <w:r w:rsidRPr="00185104">
        <w:rPr>
          <w:rFonts w:cstheme="minorHAnsi"/>
          <w:lang w:val="en-IN"/>
        </w:rPr>
        <w:t xml:space="preserve">xpress the rationale of </w:t>
      </w:r>
      <w:proofErr w:type="spellStart"/>
      <w:r w:rsidRPr="00185104">
        <w:rPr>
          <w:rFonts w:cstheme="minorHAnsi"/>
          <w:lang w:val="en-IN"/>
        </w:rPr>
        <w:t>blockchain</w:t>
      </w:r>
      <w:proofErr w:type="spellEnd"/>
      <w:r w:rsidRPr="00185104">
        <w:rPr>
          <w:rFonts w:cstheme="minorHAnsi"/>
          <w:lang w:val="en-IN"/>
        </w:rPr>
        <w:t xml:space="preserve"> technology adoption in Indian context by taking the example of any industry of your choice (different from the one mentioned in the question). </w:t>
      </w:r>
    </w:p>
    <w:p w:rsidR="00877A72" w:rsidRPr="00185104" w:rsidRDefault="003A70C7" w:rsidP="00877A72">
      <w:pPr>
        <w:jc w:val="both"/>
        <w:rPr>
          <w:rFonts w:cstheme="minorHAnsi"/>
          <w:lang w:val="en-IN"/>
        </w:rPr>
      </w:pPr>
      <w:r w:rsidRPr="00185104">
        <w:rPr>
          <w:rFonts w:cstheme="minorHAnsi"/>
          <w:lang w:val="en-IN"/>
        </w:rPr>
        <w:t xml:space="preserve">b) Express the implications of </w:t>
      </w:r>
      <w:proofErr w:type="spellStart"/>
      <w:r w:rsidRPr="00185104">
        <w:rPr>
          <w:rFonts w:cstheme="minorHAnsi"/>
          <w:lang w:val="en-IN"/>
        </w:rPr>
        <w:t>blockchain</w:t>
      </w:r>
      <w:proofErr w:type="spellEnd"/>
      <w:r w:rsidRPr="00185104">
        <w:rPr>
          <w:rFonts w:cstheme="minorHAnsi"/>
          <w:lang w:val="en-IN"/>
        </w:rPr>
        <w:t xml:space="preserve"> technology in building visibility and supporting the three pillars of sustainability in Indian context with suitable example.</w:t>
      </w:r>
    </w:p>
    <w:p w:rsidR="006C36C2" w:rsidRPr="00185104" w:rsidRDefault="006C36C2" w:rsidP="006C36C2">
      <w:pPr>
        <w:jc w:val="both"/>
        <w:rPr>
          <w:rFonts w:cstheme="minorHAnsi"/>
        </w:rPr>
      </w:pPr>
      <w:r w:rsidRPr="00185104">
        <w:rPr>
          <w:rFonts w:cstheme="minorHAnsi"/>
          <w:b/>
          <w:u w:val="single"/>
        </w:rPr>
        <w:t>Questions.4</w:t>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Pr="00185104">
        <w:rPr>
          <w:rFonts w:cstheme="minorHAnsi"/>
          <w:b/>
        </w:rPr>
        <w:tab/>
      </w:r>
      <w:r w:rsidR="00185104">
        <w:rPr>
          <w:rFonts w:cstheme="minorHAnsi"/>
          <w:b/>
        </w:rPr>
        <w:tab/>
      </w:r>
      <w:r w:rsidRPr="00185104">
        <w:rPr>
          <w:rFonts w:cstheme="minorHAnsi"/>
          <w:b/>
        </w:rPr>
        <w:t>(10</w:t>
      </w:r>
      <w:r w:rsidR="00185104">
        <w:rPr>
          <w:rFonts w:cstheme="minorHAnsi"/>
          <w:b/>
        </w:rPr>
        <w:t xml:space="preserve"> Marks</w:t>
      </w:r>
      <w:r w:rsidRPr="00185104">
        <w:rPr>
          <w:rFonts w:cstheme="minorHAnsi"/>
          <w:b/>
        </w:rPr>
        <w:t>)</w:t>
      </w:r>
    </w:p>
    <w:p w:rsidR="006C36C2" w:rsidRPr="00185104" w:rsidRDefault="00296415" w:rsidP="006C36C2">
      <w:pPr>
        <w:spacing w:after="0"/>
        <w:jc w:val="both"/>
        <w:rPr>
          <w:rFonts w:cstheme="minorHAnsi"/>
        </w:rPr>
      </w:pPr>
      <w:r w:rsidRPr="00185104">
        <w:rPr>
          <w:rFonts w:cstheme="minorHAnsi"/>
        </w:rPr>
        <w:t xml:space="preserve">Samsung Electronics Co., Ltd. is a South Korean multinational company that makes electronic and smart appliances. It has offshored its manufacturing to countries like the USA, a huge consumer of its products. The organization also has a new plant in India solely to manufacture smartphones. Additionally, it has offshored its customer support for Australian Samsung mobile users to the Philippines. </w:t>
      </w:r>
    </w:p>
    <w:p w:rsidR="006C36C2" w:rsidRPr="00185104" w:rsidRDefault="00296415" w:rsidP="006C36C2">
      <w:pPr>
        <w:spacing w:after="0"/>
        <w:jc w:val="both"/>
        <w:rPr>
          <w:rFonts w:cstheme="minorHAnsi"/>
        </w:rPr>
      </w:pPr>
      <w:proofErr w:type="spellStart"/>
      <w:r w:rsidRPr="00185104">
        <w:rPr>
          <w:rFonts w:cstheme="minorHAnsi"/>
        </w:rPr>
        <w:t>Inditex</w:t>
      </w:r>
      <w:proofErr w:type="spellEnd"/>
      <w:r w:rsidRPr="00185104">
        <w:rPr>
          <w:rFonts w:cstheme="minorHAnsi"/>
        </w:rPr>
        <w:t xml:space="preserve"> is a Spanish apparel company. </w:t>
      </w:r>
      <w:proofErr w:type="gramStart"/>
      <w:r w:rsidRPr="00185104">
        <w:rPr>
          <w:rFonts w:cstheme="minorHAnsi"/>
        </w:rPr>
        <w:t>It’s</w:t>
      </w:r>
      <w:proofErr w:type="gramEnd"/>
      <w:r w:rsidRPr="00185104">
        <w:rPr>
          <w:rFonts w:cstheme="minorHAnsi"/>
        </w:rPr>
        <w:t xml:space="preserve"> the parent company of Zara, one of the biggest fashion brands in the world. According to sources, Zara nearshored about 10% of its production to Morocco and Turkey.</w:t>
      </w:r>
      <w:r w:rsidR="006C36C2" w:rsidRPr="00185104">
        <w:rPr>
          <w:rFonts w:cstheme="minorHAnsi"/>
        </w:rPr>
        <w:t xml:space="preserve"> </w:t>
      </w:r>
    </w:p>
    <w:p w:rsidR="007B7405" w:rsidRPr="00185104" w:rsidRDefault="006C36C2" w:rsidP="006C36C2">
      <w:pPr>
        <w:jc w:val="both"/>
        <w:rPr>
          <w:rFonts w:cstheme="minorHAnsi"/>
        </w:rPr>
      </w:pPr>
      <w:r w:rsidRPr="00185104">
        <w:rPr>
          <w:rFonts w:cstheme="minorHAnsi"/>
        </w:rPr>
        <w:t>Whirlpool is an American multinational manufacturer and marketer of home appliances. The company nearshored operations to Mexico in 1987. The Mexican facility exported 80% of the machines (like refrigerators, washing machines, compact refrigerators, and stoves) to the USA and Canada.</w:t>
      </w:r>
    </w:p>
    <w:p w:rsidR="00296415" w:rsidRPr="00185104" w:rsidRDefault="006C36C2" w:rsidP="00296415">
      <w:pPr>
        <w:jc w:val="both"/>
        <w:rPr>
          <w:rFonts w:cstheme="minorHAnsi"/>
        </w:rPr>
      </w:pPr>
      <w:r w:rsidRPr="00185104">
        <w:rPr>
          <w:rFonts w:cstheme="minorHAnsi"/>
          <w:lang w:val="en-IN"/>
        </w:rPr>
        <w:t>Express in detail that f</w:t>
      </w:r>
      <w:r w:rsidR="00296415" w:rsidRPr="00185104">
        <w:rPr>
          <w:rFonts w:cstheme="minorHAnsi"/>
          <w:lang w:val="en-IN"/>
        </w:rPr>
        <w:t>or products such as home appliances, toys, garments, and consumer electronics, what factors would influence selecting an onshore, near-shore, or offshore supplier?</w:t>
      </w:r>
    </w:p>
    <w:p w:rsidR="00296415" w:rsidRPr="00185104" w:rsidRDefault="00296415" w:rsidP="005E1FE9">
      <w:pPr>
        <w:jc w:val="both"/>
        <w:rPr>
          <w:rFonts w:cstheme="minorHAnsi"/>
          <w:b/>
        </w:rPr>
      </w:pPr>
    </w:p>
    <w:sectPr w:rsidR="00296415" w:rsidRPr="00185104" w:rsidSect="00185104">
      <w:pgSz w:w="12240" w:h="15840"/>
      <w:pgMar w:top="426"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36F2F"/>
    <w:multiLevelType w:val="multilevel"/>
    <w:tmpl w:val="78A2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41017"/>
    <w:rsid w:val="000A2AB9"/>
    <w:rsid w:val="00124395"/>
    <w:rsid w:val="00151058"/>
    <w:rsid w:val="00152DCD"/>
    <w:rsid w:val="00185104"/>
    <w:rsid w:val="001A7A11"/>
    <w:rsid w:val="001B2304"/>
    <w:rsid w:val="002700A8"/>
    <w:rsid w:val="00280E48"/>
    <w:rsid w:val="00281B0A"/>
    <w:rsid w:val="00296415"/>
    <w:rsid w:val="002A197C"/>
    <w:rsid w:val="002C2D26"/>
    <w:rsid w:val="0032070D"/>
    <w:rsid w:val="0032675D"/>
    <w:rsid w:val="00396829"/>
    <w:rsid w:val="003A70C7"/>
    <w:rsid w:val="003B07DD"/>
    <w:rsid w:val="004259CF"/>
    <w:rsid w:val="004601CA"/>
    <w:rsid w:val="0046092A"/>
    <w:rsid w:val="004B002B"/>
    <w:rsid w:val="004B299C"/>
    <w:rsid w:val="0051682C"/>
    <w:rsid w:val="00564C75"/>
    <w:rsid w:val="005D63B5"/>
    <w:rsid w:val="005E1FE9"/>
    <w:rsid w:val="005E7A1A"/>
    <w:rsid w:val="00652E23"/>
    <w:rsid w:val="00653A7B"/>
    <w:rsid w:val="006C36C2"/>
    <w:rsid w:val="006F297D"/>
    <w:rsid w:val="00771F89"/>
    <w:rsid w:val="00777D25"/>
    <w:rsid w:val="007843D6"/>
    <w:rsid w:val="007B7405"/>
    <w:rsid w:val="007C2E35"/>
    <w:rsid w:val="008543CD"/>
    <w:rsid w:val="00877A72"/>
    <w:rsid w:val="00887B54"/>
    <w:rsid w:val="00891492"/>
    <w:rsid w:val="008B30A0"/>
    <w:rsid w:val="00932B7E"/>
    <w:rsid w:val="00985F7E"/>
    <w:rsid w:val="00987DC9"/>
    <w:rsid w:val="009A375A"/>
    <w:rsid w:val="009D7E4E"/>
    <w:rsid w:val="00A07BC1"/>
    <w:rsid w:val="00A70FEC"/>
    <w:rsid w:val="00A80FE1"/>
    <w:rsid w:val="00AB2230"/>
    <w:rsid w:val="00AD2548"/>
    <w:rsid w:val="00AF0EAA"/>
    <w:rsid w:val="00B30131"/>
    <w:rsid w:val="00BB2F32"/>
    <w:rsid w:val="00BC586E"/>
    <w:rsid w:val="00BD616E"/>
    <w:rsid w:val="00BF3F30"/>
    <w:rsid w:val="00C10A79"/>
    <w:rsid w:val="00C15CAD"/>
    <w:rsid w:val="00C453EE"/>
    <w:rsid w:val="00C92F63"/>
    <w:rsid w:val="00CD6EE1"/>
    <w:rsid w:val="00CF6431"/>
    <w:rsid w:val="00D97BBC"/>
    <w:rsid w:val="00E03CB9"/>
    <w:rsid w:val="00E17543"/>
    <w:rsid w:val="00ED3D3F"/>
    <w:rsid w:val="00F42F11"/>
    <w:rsid w:val="00F867FD"/>
    <w:rsid w:val="00FA6B5D"/>
    <w:rsid w:val="00FB5AA7"/>
    <w:rsid w:val="00FE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63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766406">
      <w:bodyDiv w:val="1"/>
      <w:marLeft w:val="0"/>
      <w:marRight w:val="0"/>
      <w:marTop w:val="0"/>
      <w:marBottom w:val="0"/>
      <w:divBdr>
        <w:top w:val="none" w:sz="0" w:space="0" w:color="auto"/>
        <w:left w:val="none" w:sz="0" w:space="0" w:color="auto"/>
        <w:bottom w:val="none" w:sz="0" w:space="0" w:color="auto"/>
        <w:right w:val="none" w:sz="0" w:space="0" w:color="auto"/>
      </w:divBdr>
    </w:div>
    <w:div w:id="19345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ellerapp.com/blog/private-brand-supply-cha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14</cp:revision>
  <cp:lastPrinted>2021-12-09T10:21:00Z</cp:lastPrinted>
  <dcterms:created xsi:type="dcterms:W3CDTF">2021-12-01T11:07:00Z</dcterms:created>
  <dcterms:modified xsi:type="dcterms:W3CDTF">2021-12-09T10:21:00Z</dcterms:modified>
</cp:coreProperties>
</file>