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A2DB65" w14:textId="77777777" w:rsidR="005E1FE9" w:rsidRPr="00651EDA" w:rsidRDefault="005E1FE9" w:rsidP="00281B0A">
      <w:pPr>
        <w:spacing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15C781A5" w14:textId="77777777" w:rsidR="005E1FE9" w:rsidRPr="00651EDA" w:rsidRDefault="005E1FE9" w:rsidP="00281B0A">
      <w:pPr>
        <w:spacing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21C54327" w14:textId="77777777" w:rsidR="00AB2230" w:rsidRPr="00651EDA" w:rsidRDefault="00AB2230" w:rsidP="00281B0A">
      <w:pPr>
        <w:spacing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651EDA">
        <w:rPr>
          <w:rFonts w:ascii="Arial" w:hAnsi="Arial" w:cs="Arial"/>
          <w:b/>
          <w:bCs/>
          <w:sz w:val="32"/>
          <w:szCs w:val="32"/>
        </w:rPr>
        <w:t>JAIPURIA INSTITUTE OF MANAGEMENT, INDORE</w:t>
      </w:r>
    </w:p>
    <w:p w14:paraId="27ADE917" w14:textId="77777777" w:rsidR="00AB2230" w:rsidRPr="00651EDA" w:rsidRDefault="00AB2230" w:rsidP="00281B0A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51EDA">
        <w:rPr>
          <w:rFonts w:ascii="Arial" w:hAnsi="Arial" w:cs="Arial"/>
          <w:b/>
          <w:bCs/>
          <w:sz w:val="24"/>
          <w:szCs w:val="24"/>
        </w:rPr>
        <w:t xml:space="preserve">PGDM </w:t>
      </w:r>
    </w:p>
    <w:p w14:paraId="55D3DA7D" w14:textId="2B330275" w:rsidR="00AB2230" w:rsidRPr="00651EDA" w:rsidRDefault="000366BC" w:rsidP="00281B0A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51EDA">
        <w:rPr>
          <w:rFonts w:ascii="Arial" w:hAnsi="Arial" w:cs="Arial"/>
          <w:b/>
          <w:bCs/>
          <w:sz w:val="24"/>
          <w:szCs w:val="24"/>
        </w:rPr>
        <w:t xml:space="preserve">SIXTH </w:t>
      </w:r>
      <w:r w:rsidR="00AB2230" w:rsidRPr="00651EDA">
        <w:rPr>
          <w:rFonts w:ascii="Arial" w:hAnsi="Arial" w:cs="Arial"/>
          <w:b/>
          <w:bCs/>
          <w:sz w:val="24"/>
          <w:szCs w:val="24"/>
        </w:rPr>
        <w:t>TRIMESTER (Batch 20</w:t>
      </w:r>
      <w:r w:rsidR="000627B6">
        <w:rPr>
          <w:rFonts w:ascii="Arial" w:hAnsi="Arial" w:cs="Arial"/>
          <w:b/>
          <w:bCs/>
          <w:sz w:val="24"/>
          <w:szCs w:val="24"/>
        </w:rPr>
        <w:t>20-</w:t>
      </w:r>
      <w:r w:rsidR="005E7A1A" w:rsidRPr="00651EDA">
        <w:rPr>
          <w:rFonts w:ascii="Arial" w:hAnsi="Arial" w:cs="Arial"/>
          <w:b/>
          <w:bCs/>
          <w:sz w:val="24"/>
          <w:szCs w:val="24"/>
        </w:rPr>
        <w:t>21</w:t>
      </w:r>
      <w:r w:rsidR="00AB2230" w:rsidRPr="00651EDA">
        <w:rPr>
          <w:rFonts w:ascii="Arial" w:hAnsi="Arial" w:cs="Arial"/>
          <w:b/>
          <w:bCs/>
          <w:sz w:val="24"/>
          <w:szCs w:val="24"/>
        </w:rPr>
        <w:t>)</w:t>
      </w:r>
    </w:p>
    <w:p w14:paraId="43808A6F" w14:textId="38F9062C" w:rsidR="0083126F" w:rsidRPr="00651EDA" w:rsidRDefault="00C10A79" w:rsidP="0083126F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51EDA">
        <w:rPr>
          <w:rFonts w:ascii="Arial" w:hAnsi="Arial" w:cs="Arial"/>
          <w:b/>
          <w:bCs/>
          <w:sz w:val="24"/>
          <w:szCs w:val="24"/>
        </w:rPr>
        <w:t>END</w:t>
      </w:r>
      <w:r w:rsidR="00AB2230" w:rsidRPr="00651EDA">
        <w:rPr>
          <w:rFonts w:ascii="Arial" w:hAnsi="Arial" w:cs="Arial"/>
          <w:b/>
          <w:bCs/>
          <w:sz w:val="24"/>
          <w:szCs w:val="24"/>
        </w:rPr>
        <w:t xml:space="preserve"> TERM EXAMINATION, </w:t>
      </w:r>
      <w:r w:rsidR="000366BC" w:rsidRPr="00651EDA">
        <w:rPr>
          <w:rFonts w:ascii="Arial" w:hAnsi="Arial" w:cs="Arial"/>
          <w:b/>
          <w:bCs/>
          <w:sz w:val="24"/>
          <w:szCs w:val="24"/>
        </w:rPr>
        <w:t>MAY</w:t>
      </w:r>
      <w:r w:rsidR="00495AD9" w:rsidRPr="00651EDA">
        <w:rPr>
          <w:rFonts w:ascii="Arial" w:hAnsi="Arial" w:cs="Arial"/>
          <w:b/>
          <w:bCs/>
          <w:sz w:val="24"/>
          <w:szCs w:val="24"/>
        </w:rPr>
        <w:t>-202</w:t>
      </w:r>
      <w:r w:rsidR="000627B6">
        <w:rPr>
          <w:rFonts w:ascii="Arial" w:hAnsi="Arial" w:cs="Arial"/>
          <w:b/>
          <w:bCs/>
          <w:sz w:val="24"/>
          <w:szCs w:val="24"/>
        </w:rPr>
        <w:t>2</w:t>
      </w:r>
    </w:p>
    <w:p w14:paraId="1B458243" w14:textId="77777777" w:rsidR="005E1FE9" w:rsidRPr="00651EDA" w:rsidRDefault="005E1FE9" w:rsidP="00281B0A">
      <w:pPr>
        <w:spacing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9754" w:type="dxa"/>
        <w:tblInd w:w="-147" w:type="dxa"/>
        <w:tblLook w:val="04A0" w:firstRow="1" w:lastRow="0" w:firstColumn="1" w:lastColumn="0" w:noHBand="0" w:noVBand="1"/>
      </w:tblPr>
      <w:tblGrid>
        <w:gridCol w:w="1872"/>
        <w:gridCol w:w="5048"/>
        <w:gridCol w:w="1727"/>
        <w:gridCol w:w="1107"/>
      </w:tblGrid>
      <w:tr w:rsidR="005E1FE9" w:rsidRPr="00651EDA" w14:paraId="0F33B8CF" w14:textId="77777777" w:rsidTr="00650D9E">
        <w:trPr>
          <w:trHeight w:val="445"/>
        </w:trPr>
        <w:tc>
          <w:tcPr>
            <w:tcW w:w="1872" w:type="dxa"/>
            <w:vAlign w:val="center"/>
          </w:tcPr>
          <w:p w14:paraId="54A31423" w14:textId="77777777" w:rsidR="005E1FE9" w:rsidRPr="00651EDA" w:rsidRDefault="005E1FE9" w:rsidP="008A0B7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51EDA">
              <w:rPr>
                <w:rFonts w:ascii="Arial" w:hAnsi="Arial" w:cs="Arial"/>
                <w:bCs/>
                <w:sz w:val="24"/>
                <w:szCs w:val="24"/>
              </w:rPr>
              <w:t>Course Name</w:t>
            </w:r>
          </w:p>
        </w:tc>
        <w:tc>
          <w:tcPr>
            <w:tcW w:w="5048" w:type="dxa"/>
            <w:vAlign w:val="center"/>
          </w:tcPr>
          <w:p w14:paraId="0F486DB7" w14:textId="1B9A2F0C" w:rsidR="005E1FE9" w:rsidRPr="00651EDA" w:rsidRDefault="00D744BE" w:rsidP="008A0B7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51EDA">
              <w:rPr>
                <w:rFonts w:ascii="Calibri" w:hAnsi="Calibri" w:cs="Calibri"/>
                <w:b/>
                <w:bCs/>
                <w:color w:val="222222"/>
                <w:sz w:val="24"/>
                <w:szCs w:val="24"/>
                <w:shd w:val="clear" w:color="auto" w:fill="FFFFFF"/>
              </w:rPr>
              <w:t xml:space="preserve">Cloud Computing </w:t>
            </w:r>
            <w:r w:rsidR="000627B6">
              <w:rPr>
                <w:rFonts w:ascii="Calibri" w:hAnsi="Calibri" w:cs="Calibri"/>
                <w:b/>
                <w:bCs/>
                <w:color w:val="222222"/>
                <w:sz w:val="24"/>
                <w:szCs w:val="24"/>
                <w:shd w:val="clear" w:color="auto" w:fill="FFFFFF"/>
              </w:rPr>
              <w:t>and Business Management</w:t>
            </w:r>
          </w:p>
        </w:tc>
        <w:tc>
          <w:tcPr>
            <w:tcW w:w="1727" w:type="dxa"/>
            <w:vAlign w:val="center"/>
          </w:tcPr>
          <w:p w14:paraId="68A5C7A4" w14:textId="77777777" w:rsidR="005E1FE9" w:rsidRPr="00651EDA" w:rsidRDefault="005E1FE9" w:rsidP="008A0B7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51EDA">
              <w:rPr>
                <w:rFonts w:ascii="Arial" w:hAnsi="Arial" w:cs="Arial"/>
                <w:bCs/>
                <w:sz w:val="24"/>
                <w:szCs w:val="24"/>
              </w:rPr>
              <w:t>Course Code</w:t>
            </w:r>
          </w:p>
        </w:tc>
        <w:tc>
          <w:tcPr>
            <w:tcW w:w="1107" w:type="dxa"/>
            <w:vAlign w:val="center"/>
          </w:tcPr>
          <w:p w14:paraId="3AE8C754" w14:textId="0DE87136" w:rsidR="005E1FE9" w:rsidRPr="00651EDA" w:rsidRDefault="00D744BE" w:rsidP="008A0B7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51EDA">
              <w:rPr>
                <w:rFonts w:ascii="Arial" w:hAnsi="Arial" w:cs="Arial"/>
                <w:b/>
                <w:bCs/>
                <w:sz w:val="24"/>
                <w:szCs w:val="24"/>
              </w:rPr>
              <w:t>IT-601</w:t>
            </w:r>
          </w:p>
        </w:tc>
      </w:tr>
      <w:tr w:rsidR="005E1FE9" w:rsidRPr="00651EDA" w14:paraId="431C596F" w14:textId="77777777" w:rsidTr="00650D9E">
        <w:trPr>
          <w:trHeight w:val="445"/>
        </w:trPr>
        <w:tc>
          <w:tcPr>
            <w:tcW w:w="1872" w:type="dxa"/>
            <w:vAlign w:val="center"/>
          </w:tcPr>
          <w:p w14:paraId="4E45A821" w14:textId="77777777" w:rsidR="005E1FE9" w:rsidRPr="00651EDA" w:rsidRDefault="005E1FE9" w:rsidP="008A0B7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51EDA">
              <w:rPr>
                <w:rFonts w:ascii="Arial" w:hAnsi="Arial" w:cs="Arial"/>
                <w:bCs/>
                <w:sz w:val="24"/>
                <w:szCs w:val="24"/>
              </w:rPr>
              <w:t>Max. Time</w:t>
            </w:r>
          </w:p>
        </w:tc>
        <w:tc>
          <w:tcPr>
            <w:tcW w:w="5048" w:type="dxa"/>
            <w:vAlign w:val="center"/>
          </w:tcPr>
          <w:p w14:paraId="614FC60A" w14:textId="77777777" w:rsidR="005E1FE9" w:rsidRPr="00651EDA" w:rsidRDefault="00C10A79" w:rsidP="008A0B7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51EDA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  <w:r w:rsidR="005E1FE9" w:rsidRPr="00651ED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hour</w:t>
            </w:r>
            <w:r w:rsidRPr="00651EDA">
              <w:rPr>
                <w:rFonts w:ascii="Arial" w:hAnsi="Arial" w:cs="Arial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1727" w:type="dxa"/>
            <w:vAlign w:val="center"/>
          </w:tcPr>
          <w:p w14:paraId="4C6D557C" w14:textId="77777777" w:rsidR="005E1FE9" w:rsidRPr="00651EDA" w:rsidRDefault="005E1FE9" w:rsidP="008A0B7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651EDA">
              <w:rPr>
                <w:rFonts w:ascii="Arial" w:hAnsi="Arial" w:cs="Arial"/>
                <w:bCs/>
                <w:sz w:val="24"/>
                <w:szCs w:val="24"/>
              </w:rPr>
              <w:t>Max. Marks</w:t>
            </w:r>
          </w:p>
        </w:tc>
        <w:tc>
          <w:tcPr>
            <w:tcW w:w="1107" w:type="dxa"/>
            <w:vAlign w:val="center"/>
          </w:tcPr>
          <w:p w14:paraId="19754673" w14:textId="77777777" w:rsidR="005E1FE9" w:rsidRPr="00651EDA" w:rsidRDefault="00C10A79" w:rsidP="008A0B7E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51EDA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  <w:r w:rsidR="002A197C" w:rsidRPr="00651EDA">
              <w:rPr>
                <w:rFonts w:ascii="Arial" w:hAnsi="Arial" w:cs="Arial"/>
                <w:b/>
                <w:bCs/>
                <w:sz w:val="24"/>
                <w:szCs w:val="24"/>
              </w:rPr>
              <w:t>0</w:t>
            </w:r>
          </w:p>
        </w:tc>
      </w:tr>
    </w:tbl>
    <w:p w14:paraId="319FBEE2" w14:textId="77777777" w:rsidR="005E1FE9" w:rsidRPr="00651EDA" w:rsidRDefault="005E1FE9" w:rsidP="005E1FE9">
      <w:pPr>
        <w:spacing w:before="240"/>
        <w:rPr>
          <w:rFonts w:ascii="Arial" w:hAnsi="Arial" w:cs="Arial"/>
          <w:b/>
          <w:sz w:val="24"/>
          <w:szCs w:val="24"/>
        </w:rPr>
      </w:pPr>
      <w:r w:rsidRPr="00651EDA">
        <w:rPr>
          <w:rFonts w:ascii="Arial" w:hAnsi="Arial" w:cs="Arial"/>
          <w:b/>
          <w:bCs/>
          <w:sz w:val="24"/>
          <w:szCs w:val="24"/>
        </w:rPr>
        <w:t>INSTRUCTIONS:</w:t>
      </w:r>
      <w:r w:rsidRPr="00651EDA">
        <w:rPr>
          <w:rFonts w:ascii="Arial" w:hAnsi="Arial" w:cs="Arial"/>
          <w:b/>
          <w:sz w:val="24"/>
          <w:szCs w:val="24"/>
        </w:rPr>
        <w:t xml:space="preserve"> </w:t>
      </w:r>
    </w:p>
    <w:p w14:paraId="59F354FC" w14:textId="19EFFE9F" w:rsidR="0083126F" w:rsidRPr="00550FF4" w:rsidRDefault="00D744BE" w:rsidP="005E1FE9">
      <w:pPr>
        <w:pStyle w:val="ListParagraph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 w:rsidRPr="00550FF4">
        <w:rPr>
          <w:rFonts w:cstheme="minorHAnsi"/>
          <w:sz w:val="24"/>
          <w:szCs w:val="24"/>
        </w:rPr>
        <w:t xml:space="preserve">All the questions are </w:t>
      </w:r>
      <w:r w:rsidR="00D10E12">
        <w:rPr>
          <w:rFonts w:cstheme="minorHAnsi"/>
          <w:sz w:val="24"/>
          <w:szCs w:val="24"/>
        </w:rPr>
        <w:t>compulsory.</w:t>
      </w:r>
      <w:bookmarkStart w:id="0" w:name="_GoBack"/>
      <w:bookmarkEnd w:id="0"/>
    </w:p>
    <w:p w14:paraId="3FC38151" w14:textId="77777777" w:rsidR="001206C3" w:rsidRPr="00550FF4" w:rsidRDefault="005E1FE9" w:rsidP="0098281C">
      <w:pPr>
        <w:spacing w:after="0"/>
        <w:jc w:val="both"/>
        <w:rPr>
          <w:rFonts w:cstheme="minorHAnsi"/>
          <w:bCs/>
        </w:rPr>
      </w:pPr>
      <w:r w:rsidRPr="00550FF4">
        <w:rPr>
          <w:rFonts w:cstheme="minorHAnsi"/>
          <w:b/>
          <w:u w:val="single"/>
        </w:rPr>
        <w:t>Questions.1</w:t>
      </w:r>
      <w:r w:rsidR="004D5D70" w:rsidRPr="00550FF4">
        <w:rPr>
          <w:rFonts w:cstheme="minorHAnsi"/>
          <w:b/>
        </w:rPr>
        <w:t xml:space="preserve"> </w:t>
      </w:r>
      <w:r w:rsidR="00A8523E" w:rsidRPr="00550FF4">
        <w:rPr>
          <w:rFonts w:cstheme="minorHAnsi"/>
          <w:bCs/>
        </w:rPr>
        <w:t xml:space="preserve">Healthcare Cloud Computing Market </w:t>
      </w:r>
      <w:r w:rsidR="00D95B41" w:rsidRPr="00550FF4">
        <w:rPr>
          <w:rFonts w:cstheme="minorHAnsi"/>
          <w:bCs/>
        </w:rPr>
        <w:t>t</w:t>
      </w:r>
      <w:r w:rsidR="00A8523E" w:rsidRPr="00550FF4">
        <w:rPr>
          <w:rFonts w:cstheme="minorHAnsi"/>
          <w:bCs/>
        </w:rPr>
        <w:t xml:space="preserve">o Witness Massive Growth </w:t>
      </w:r>
      <w:proofErr w:type="gramStart"/>
      <w:r w:rsidR="00A8523E" w:rsidRPr="00550FF4">
        <w:rPr>
          <w:rFonts w:cstheme="minorHAnsi"/>
          <w:bCs/>
        </w:rPr>
        <w:t>By</w:t>
      </w:r>
      <w:proofErr w:type="gramEnd"/>
      <w:r w:rsidR="00A8523E" w:rsidRPr="00550FF4">
        <w:rPr>
          <w:rFonts w:cstheme="minorHAnsi"/>
          <w:bCs/>
        </w:rPr>
        <w:t xml:space="preserve"> 2029.</w:t>
      </w:r>
      <w:r w:rsidR="00D95B41" w:rsidRPr="00550FF4">
        <w:rPr>
          <w:rFonts w:cstheme="minorHAnsi"/>
          <w:bCs/>
        </w:rPr>
        <w:t xml:space="preserve"> The growing trend of digitization in the healthcare sector has benefited the market considerably. When it comes to healthcare, the technology is applied to overcome two major industry challenges: increasing cost-effectiveness and building a self-sufficient health ecosystem. Given the pandemic crisis, these issues became sharp; but cloud computing’s potential is high enough to overcome them.</w:t>
      </w:r>
      <w:r w:rsidR="00D760DB" w:rsidRPr="00550FF4">
        <w:rPr>
          <w:rFonts w:cstheme="minorHAnsi"/>
          <w:bCs/>
        </w:rPr>
        <w:t xml:space="preserve"> </w:t>
      </w:r>
    </w:p>
    <w:p w14:paraId="38301C15" w14:textId="7C02619D" w:rsidR="00297426" w:rsidRPr="00550FF4" w:rsidRDefault="00D760DB" w:rsidP="0098281C">
      <w:pPr>
        <w:spacing w:after="0"/>
        <w:jc w:val="both"/>
        <w:rPr>
          <w:rFonts w:cstheme="minorHAnsi"/>
          <w:b/>
        </w:rPr>
      </w:pPr>
      <w:r w:rsidRPr="00550FF4">
        <w:rPr>
          <w:rFonts w:cstheme="minorHAnsi"/>
          <w:bCs/>
        </w:rPr>
        <w:t xml:space="preserve">Summarize the usage of cloud computing in healthcare, and explain how it is used to increase the cost-effectiveness and helpful in building a self-sufficient health ecosystem. </w:t>
      </w:r>
      <w:r w:rsidR="00550FF4">
        <w:rPr>
          <w:rFonts w:cstheme="minorHAnsi"/>
          <w:bCs/>
        </w:rPr>
        <w:t xml:space="preserve">                                           </w:t>
      </w:r>
      <w:r w:rsidR="005E1FE9" w:rsidRPr="00550FF4">
        <w:rPr>
          <w:rFonts w:cstheme="minorHAnsi"/>
          <w:b/>
        </w:rPr>
        <w:t>(</w:t>
      </w:r>
      <w:r w:rsidR="004D5D70" w:rsidRPr="00550FF4">
        <w:rPr>
          <w:rFonts w:cstheme="minorHAnsi"/>
          <w:b/>
        </w:rPr>
        <w:t xml:space="preserve">10 </w:t>
      </w:r>
      <w:r w:rsidR="005E1FE9" w:rsidRPr="00550FF4">
        <w:rPr>
          <w:rFonts w:cstheme="minorHAnsi"/>
          <w:b/>
        </w:rPr>
        <w:t>Marks)</w:t>
      </w:r>
      <w:r w:rsidR="00CB767F" w:rsidRPr="00550FF4">
        <w:rPr>
          <w:rFonts w:cstheme="minorHAnsi"/>
          <w:b/>
          <w:noProof/>
        </w:rPr>
        <w:t xml:space="preserve"> </w:t>
      </w:r>
    </w:p>
    <w:p w14:paraId="4EC6573C" w14:textId="77777777" w:rsidR="004B74BF" w:rsidRPr="00550FF4" w:rsidRDefault="004B74BF" w:rsidP="004B74BF">
      <w:pPr>
        <w:rPr>
          <w:rFonts w:cstheme="minorHAnsi"/>
          <w:b/>
          <w:u w:val="single"/>
        </w:rPr>
      </w:pPr>
    </w:p>
    <w:p w14:paraId="2FAE4B2C" w14:textId="1C9BA299" w:rsidR="004122F3" w:rsidRPr="00550FF4" w:rsidRDefault="005E1FE9" w:rsidP="0098281C">
      <w:pPr>
        <w:jc w:val="both"/>
        <w:rPr>
          <w:rFonts w:cstheme="minorHAnsi"/>
          <w:bCs/>
        </w:rPr>
      </w:pPr>
      <w:r w:rsidRPr="00550FF4">
        <w:rPr>
          <w:rFonts w:cstheme="minorHAnsi"/>
          <w:b/>
          <w:u w:val="single"/>
        </w:rPr>
        <w:t>Questions.2</w:t>
      </w:r>
      <w:r w:rsidR="00D10E12">
        <w:rPr>
          <w:rFonts w:cstheme="minorHAnsi"/>
          <w:b/>
        </w:rPr>
        <w:t xml:space="preserve"> </w:t>
      </w:r>
      <w:r w:rsidR="00570E33" w:rsidRPr="00550FF4">
        <w:rPr>
          <w:rFonts w:cstheme="minorHAnsi"/>
          <w:b/>
        </w:rPr>
        <w:t>I</w:t>
      </w:r>
      <w:r w:rsidR="004B74BF" w:rsidRPr="00550FF4">
        <w:rPr>
          <w:rFonts w:cstheme="minorHAnsi"/>
          <w:bCs/>
        </w:rPr>
        <w:t>n India, the need for data center infrastructures is growing</w:t>
      </w:r>
      <w:r w:rsidR="0098281C" w:rsidRPr="00550FF4">
        <w:rPr>
          <w:rFonts w:cstheme="minorHAnsi"/>
          <w:bCs/>
        </w:rPr>
        <w:t xml:space="preserve"> </w:t>
      </w:r>
      <w:r w:rsidR="004B74BF" w:rsidRPr="00550FF4">
        <w:rPr>
          <w:rFonts w:cstheme="minorHAnsi"/>
          <w:bCs/>
        </w:rPr>
        <w:t>exponentially, as cloud adoption, as well as data consumption and generation by half a billion digital users, are reaching unprecedented levels.  The finance minister granted infrastructure status to the data center industry while announcing the Budget 2022-23. This would also help Indian companies in this space to compete with its global peers and thus provide more choice and better service to end clients.</w:t>
      </w:r>
      <w:r w:rsidR="0098281C" w:rsidRPr="00550FF4">
        <w:rPr>
          <w:rFonts w:cstheme="minorHAnsi"/>
          <w:bCs/>
        </w:rPr>
        <w:t xml:space="preserve"> </w:t>
      </w:r>
    </w:p>
    <w:p w14:paraId="7EFFABB6" w14:textId="5EB5D9CA" w:rsidR="005E1FE9" w:rsidRPr="00550FF4" w:rsidRDefault="0098281C" w:rsidP="0098281C">
      <w:pPr>
        <w:jc w:val="both"/>
        <w:rPr>
          <w:rFonts w:cstheme="minorHAnsi"/>
          <w:bCs/>
        </w:rPr>
      </w:pPr>
      <w:r w:rsidRPr="00550FF4">
        <w:rPr>
          <w:rFonts w:cstheme="minorHAnsi"/>
          <w:bCs/>
        </w:rPr>
        <w:t>Explain the application of cloud infrastructural for</w:t>
      </w:r>
      <w:r w:rsidR="00B2011F" w:rsidRPr="00550FF4">
        <w:rPr>
          <w:rFonts w:cstheme="minorHAnsi"/>
          <w:bCs/>
        </w:rPr>
        <w:t xml:space="preserve"> Indian companies in order to compete with its global peers? </w:t>
      </w:r>
      <w:r w:rsidR="00550FF4">
        <w:rPr>
          <w:rFonts w:cstheme="minorHAnsi"/>
          <w:bCs/>
        </w:rPr>
        <w:t xml:space="preserve">                                                                                                                                                         </w:t>
      </w:r>
      <w:r w:rsidR="005E1FE9" w:rsidRPr="00550FF4">
        <w:rPr>
          <w:rFonts w:cstheme="minorHAnsi"/>
          <w:b/>
        </w:rPr>
        <w:t>(</w:t>
      </w:r>
      <w:r w:rsidR="00297426" w:rsidRPr="00550FF4">
        <w:rPr>
          <w:rFonts w:cstheme="minorHAnsi"/>
          <w:b/>
        </w:rPr>
        <w:t xml:space="preserve">10 </w:t>
      </w:r>
      <w:r w:rsidR="005E1FE9" w:rsidRPr="00550FF4">
        <w:rPr>
          <w:rFonts w:cstheme="minorHAnsi"/>
          <w:b/>
        </w:rPr>
        <w:t>Marks)</w:t>
      </w:r>
    </w:p>
    <w:p w14:paraId="68CB1313" w14:textId="0905E17B" w:rsidR="00675CE7" w:rsidRPr="00550FF4" w:rsidRDefault="005E1FE9" w:rsidP="00675CE7">
      <w:pPr>
        <w:jc w:val="both"/>
        <w:rPr>
          <w:rFonts w:cstheme="minorHAnsi"/>
          <w:bCs/>
        </w:rPr>
      </w:pPr>
      <w:r w:rsidRPr="00550FF4">
        <w:rPr>
          <w:rFonts w:cstheme="minorHAnsi"/>
          <w:b/>
          <w:u w:val="single"/>
        </w:rPr>
        <w:t>Questions.3</w:t>
      </w:r>
      <w:r w:rsidR="00D10E12">
        <w:rPr>
          <w:rFonts w:cstheme="minorHAnsi"/>
          <w:b/>
        </w:rPr>
        <w:t xml:space="preserve"> </w:t>
      </w:r>
      <w:r w:rsidR="00B611EF" w:rsidRPr="00550FF4">
        <w:rPr>
          <w:rFonts w:cstheme="minorHAnsi"/>
          <w:bCs/>
        </w:rPr>
        <w:t>SaaS solutions are among the fastest-growing segments in the IT industry. </w:t>
      </w:r>
      <w:r w:rsidR="00675CE7" w:rsidRPr="00550FF4">
        <w:rPr>
          <w:rFonts w:cstheme="minorHAnsi"/>
          <w:bCs/>
        </w:rPr>
        <w:t xml:space="preserve">Among cloud options, the outlook for SaaS is arguably the brightest. </w:t>
      </w:r>
    </w:p>
    <w:p w14:paraId="2B78AAB5" w14:textId="51A7B5FD" w:rsidR="00297D67" w:rsidRPr="00550FF4" w:rsidRDefault="00297D67" w:rsidP="005E1FE9">
      <w:pPr>
        <w:jc w:val="both"/>
        <w:rPr>
          <w:rFonts w:cstheme="minorHAnsi"/>
          <w:bCs/>
        </w:rPr>
      </w:pPr>
    </w:p>
    <w:p w14:paraId="1667768E" w14:textId="2AEE600D" w:rsidR="00297D67" w:rsidRPr="00550FF4" w:rsidRDefault="00297D67" w:rsidP="005E1FE9">
      <w:pPr>
        <w:jc w:val="both"/>
        <w:rPr>
          <w:rFonts w:cstheme="minorHAnsi"/>
          <w:b/>
        </w:rPr>
      </w:pPr>
      <w:r w:rsidRPr="00550FF4">
        <w:rPr>
          <w:rFonts w:cstheme="minorHAnsi"/>
          <w:b/>
          <w:noProof/>
          <w:lang w:val="en-IN" w:eastAsia="en-IN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971F302" wp14:editId="61A5C391">
                <wp:simplePos x="0" y="0"/>
                <wp:positionH relativeFrom="column">
                  <wp:posOffset>76200</wp:posOffset>
                </wp:positionH>
                <wp:positionV relativeFrom="paragraph">
                  <wp:posOffset>180340</wp:posOffset>
                </wp:positionV>
                <wp:extent cx="5689600" cy="977900"/>
                <wp:effectExtent l="0" t="0" r="25400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9600" cy="977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2D9382" w14:textId="17770397" w:rsidR="00297D67" w:rsidRPr="00675CE7" w:rsidRDefault="00297D67" w:rsidP="00675CE7">
                            <w:pPr>
                              <w:jc w:val="both"/>
                              <w:rPr>
                                <w:rFonts w:ascii="Book Antiqua" w:hAnsi="Book Antiqua" w:cs="Arial"/>
                                <w:bCs/>
                                <w:sz w:val="24"/>
                                <w:szCs w:val="24"/>
                              </w:rPr>
                            </w:pPr>
                            <w:r w:rsidRPr="00675CE7">
                              <w:rPr>
                                <w:rFonts w:ascii="Book Antiqua" w:hAnsi="Book Antiqua" w:cs="Arial"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Organizations are advancing their timelines on digital business initiatives and moving rapidly to the cloud in an effort to modernize environments, improve </w:t>
                            </w:r>
                            <w:hyperlink r:id="rId5" w:tgtFrame="_self" w:history="1">
                              <w:r w:rsidRPr="00675CE7">
                                <w:rPr>
                                  <w:rFonts w:ascii="Book Antiqua" w:hAnsi="Book Antiqua" w:cs="Arial"/>
                                  <w:bCs/>
                                  <w:sz w:val="24"/>
                                  <w:szCs w:val="24"/>
                                </w:rPr>
                                <w:t>system reliability</w:t>
                              </w:r>
                            </w:hyperlink>
                            <w:r w:rsidRPr="00675CE7">
                              <w:rPr>
                                <w:rFonts w:ascii="Book Antiqua" w:hAnsi="Book Antiqua" w:cs="Arial"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, support hybrid work models and address other new realities compelled by the pandemic,” said </w:t>
                            </w:r>
                            <w:hyperlink r:id="rId6" w:tgtFrame="_blank" w:history="1">
                              <w:r w:rsidRPr="00675CE7">
                                <w:rPr>
                                  <w:rFonts w:ascii="Book Antiqua" w:hAnsi="Book Antiqua" w:cs="Arial"/>
                                  <w:bCs/>
                                  <w:i/>
                                  <w:iCs/>
                                  <w:sz w:val="24"/>
                                  <w:szCs w:val="24"/>
                                </w:rPr>
                                <w:t>Brandon Medford</w:t>
                              </w:r>
                            </w:hyperlink>
                            <w:r w:rsidRPr="00675CE7">
                              <w:rPr>
                                <w:rFonts w:ascii="Book Antiqua" w:hAnsi="Book Antiqua" w:cs="Arial"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, senior principal analyst at Gartner</w:t>
                            </w:r>
                            <w:r w:rsidRPr="00675CE7">
                              <w:rPr>
                                <w:rFonts w:ascii="Book Antiqua" w:hAnsi="Book Antiqua" w:cs="Arial"/>
                                <w:bCs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2971F30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pt;margin-top:14.2pt;width:448pt;height:7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">
                <v:textbox>
                  <w:txbxContent>
                    <w:p w14:paraId="0A2D9382" w14:textId="17770397" w:rsidR="00297D67" w:rsidRPr="00675CE7" w:rsidRDefault="00297D67" w:rsidP="00675CE7">
                      <w:pPr>
                        <w:jc w:val="both"/>
                        <w:rPr>
                          <w:rFonts w:ascii="Book Antiqua" w:hAnsi="Book Antiqua" w:cs="Arial"/>
                          <w:bCs/>
                          <w:sz w:val="24"/>
                          <w:szCs w:val="24"/>
                        </w:rPr>
                      </w:pPr>
                      <w:r w:rsidRPr="00675CE7">
                        <w:rPr>
                          <w:rFonts w:ascii="Book Antiqua" w:hAnsi="Book Antiqua" w:cs="Arial"/>
                          <w:bCs/>
                          <w:i/>
                          <w:iCs/>
                          <w:sz w:val="24"/>
                          <w:szCs w:val="24"/>
                        </w:rPr>
                        <w:t>Organizations are advancing their timelines on digital business initiatives and moving rapidly to the cloud in an effort to modernize environments, improve </w:t>
                      </w:r>
                      <w:hyperlink r:id="rId7" w:tgtFrame="_self" w:history="1">
                        <w:r w:rsidRPr="00675CE7">
                          <w:rPr>
                            <w:rFonts w:ascii="Book Antiqua" w:hAnsi="Book Antiqua" w:cs="Arial"/>
                            <w:bCs/>
                            <w:sz w:val="24"/>
                            <w:szCs w:val="24"/>
                          </w:rPr>
                          <w:t>system reliability</w:t>
                        </w:r>
                      </w:hyperlink>
                      <w:r w:rsidRPr="00675CE7">
                        <w:rPr>
                          <w:rFonts w:ascii="Book Antiqua" w:hAnsi="Book Antiqua" w:cs="Arial"/>
                          <w:bCs/>
                          <w:i/>
                          <w:iCs/>
                          <w:sz w:val="24"/>
                          <w:szCs w:val="24"/>
                        </w:rPr>
                        <w:t>, support hybrid work models and address other new realities compelled by the pandemic,” said </w:t>
                      </w:r>
                      <w:hyperlink r:id="rId8" w:tgtFrame="_blank" w:history="1">
                        <w:r w:rsidRPr="00675CE7">
                          <w:rPr>
                            <w:rFonts w:ascii="Book Antiqua" w:hAnsi="Book Antiqua" w:cs="Arial"/>
                            <w:bCs/>
                            <w:i/>
                            <w:iCs/>
                            <w:sz w:val="24"/>
                            <w:szCs w:val="24"/>
                          </w:rPr>
                          <w:t>Brandon Medford</w:t>
                        </w:r>
                      </w:hyperlink>
                      <w:r w:rsidRPr="00675CE7">
                        <w:rPr>
                          <w:rFonts w:ascii="Book Antiqua" w:hAnsi="Book Antiqua" w:cs="Arial"/>
                          <w:bCs/>
                          <w:i/>
                          <w:iCs/>
                          <w:sz w:val="24"/>
                          <w:szCs w:val="24"/>
                        </w:rPr>
                        <w:t>, senior principal analyst at Gartner</w:t>
                      </w:r>
                      <w:r w:rsidRPr="00675CE7">
                        <w:rPr>
                          <w:rFonts w:ascii="Book Antiqua" w:hAnsi="Book Antiqua" w:cs="Arial"/>
                          <w:bCs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611EF" w:rsidRPr="00550FF4">
        <w:rPr>
          <w:rFonts w:cstheme="minorHAnsi"/>
          <w:b/>
        </w:rPr>
        <w:t xml:space="preserve"> </w:t>
      </w:r>
    </w:p>
    <w:p w14:paraId="20FE9648" w14:textId="77777777" w:rsidR="00B611EF" w:rsidRPr="00550FF4" w:rsidRDefault="00B611EF" w:rsidP="005E1FE9">
      <w:pPr>
        <w:jc w:val="both"/>
        <w:rPr>
          <w:rFonts w:cstheme="minorHAnsi"/>
          <w:b/>
        </w:rPr>
      </w:pPr>
      <w:r w:rsidRPr="00550FF4">
        <w:rPr>
          <w:rFonts w:cstheme="minorHAnsi"/>
          <w:b/>
          <w:noProof/>
          <w:lang w:val="en-IN" w:eastAsia="en-IN"/>
        </w:rPr>
        <w:lastRenderedPageBreak/>
        <w:drawing>
          <wp:inline distT="0" distB="0" distL="0" distR="0" wp14:anchorId="7668B279" wp14:editId="123DE7E0">
            <wp:extent cx="5715294" cy="4730993"/>
            <wp:effectExtent l="19050" t="19050" r="19050" b="1270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15294" cy="4730993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Pr="00550FF4">
        <w:rPr>
          <w:rFonts w:cstheme="minorHAnsi"/>
          <w:b/>
        </w:rPr>
        <w:t xml:space="preserve"> </w:t>
      </w:r>
    </w:p>
    <w:p w14:paraId="50864CCC" w14:textId="77777777" w:rsidR="002B76DD" w:rsidRPr="00550FF4" w:rsidRDefault="00675CE7" w:rsidP="00675CE7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cstheme="minorHAnsi"/>
          <w:bCs/>
        </w:rPr>
      </w:pPr>
      <w:r w:rsidRPr="00550FF4">
        <w:rPr>
          <w:rFonts w:cstheme="minorHAnsi"/>
          <w:bCs/>
        </w:rPr>
        <w:t xml:space="preserve">As per the above figure the </w:t>
      </w:r>
      <w:r w:rsidR="00B611EF" w:rsidRPr="00550FF4">
        <w:rPr>
          <w:rFonts w:cstheme="minorHAnsi"/>
          <w:bCs/>
        </w:rPr>
        <w:t xml:space="preserve">Salesforce </w:t>
      </w:r>
      <w:r w:rsidR="002B76DD" w:rsidRPr="00550FF4">
        <w:rPr>
          <w:rFonts w:cstheme="minorHAnsi"/>
          <w:bCs/>
        </w:rPr>
        <w:t xml:space="preserve">has grown considerably and </w:t>
      </w:r>
      <w:r w:rsidR="00B611EF" w:rsidRPr="00550FF4">
        <w:rPr>
          <w:rFonts w:cstheme="minorHAnsi"/>
          <w:bCs/>
        </w:rPr>
        <w:t xml:space="preserve">alone grew from $161 billion in January 2020 to $251 billion in September 2021. </w:t>
      </w:r>
    </w:p>
    <w:p w14:paraId="111A990B" w14:textId="5E2C3FC6" w:rsidR="005E1FE9" w:rsidRPr="00550FF4" w:rsidRDefault="00B611EF" w:rsidP="000C5322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cstheme="minorHAnsi"/>
          <w:bCs/>
        </w:rPr>
      </w:pPr>
      <w:r w:rsidRPr="00550FF4">
        <w:rPr>
          <w:rFonts w:cstheme="minorHAnsi"/>
          <w:bCs/>
        </w:rPr>
        <w:t xml:space="preserve">Explain the role of salesforce </w:t>
      </w:r>
      <w:r w:rsidR="002B76DD" w:rsidRPr="00550FF4">
        <w:rPr>
          <w:rFonts w:cstheme="minorHAnsi"/>
          <w:bCs/>
        </w:rPr>
        <w:t xml:space="preserve">SaaS </w:t>
      </w:r>
      <w:r w:rsidRPr="00550FF4">
        <w:rPr>
          <w:rFonts w:cstheme="minorHAnsi"/>
          <w:bCs/>
        </w:rPr>
        <w:t>software</w:t>
      </w:r>
      <w:r w:rsidR="002B76DD" w:rsidRPr="00550FF4">
        <w:rPr>
          <w:rFonts w:cstheme="minorHAnsi"/>
          <w:bCs/>
        </w:rPr>
        <w:t xml:space="preserve"> </w:t>
      </w:r>
      <w:r w:rsidRPr="00550FF4">
        <w:rPr>
          <w:rFonts w:cstheme="minorHAnsi"/>
          <w:bCs/>
        </w:rPr>
        <w:t xml:space="preserve">in order to </w:t>
      </w:r>
      <w:r w:rsidR="00297D67" w:rsidRPr="00550FF4">
        <w:rPr>
          <w:rFonts w:cstheme="minorHAnsi"/>
          <w:bCs/>
        </w:rPr>
        <w:t>manage</w:t>
      </w:r>
      <w:r w:rsidRPr="00550FF4">
        <w:rPr>
          <w:rFonts w:cstheme="minorHAnsi"/>
          <w:bCs/>
        </w:rPr>
        <w:t xml:space="preserve"> the customers and handle their </w:t>
      </w:r>
      <w:r w:rsidR="00297D67" w:rsidRPr="00550FF4">
        <w:rPr>
          <w:rFonts w:cstheme="minorHAnsi"/>
          <w:bCs/>
        </w:rPr>
        <w:t>grievances</w:t>
      </w:r>
      <w:r w:rsidRPr="00550FF4">
        <w:rPr>
          <w:rFonts w:cstheme="minorHAnsi"/>
          <w:bCs/>
        </w:rPr>
        <w:t xml:space="preserve"> and </w:t>
      </w:r>
      <w:r w:rsidR="00297D67" w:rsidRPr="00550FF4">
        <w:rPr>
          <w:rFonts w:cstheme="minorHAnsi"/>
          <w:bCs/>
        </w:rPr>
        <w:t>make them satisfied loyal customers over a period of time.</w:t>
      </w:r>
      <w:r w:rsidR="00675CE7" w:rsidRPr="00550FF4">
        <w:rPr>
          <w:rFonts w:cstheme="minorHAnsi"/>
          <w:bCs/>
        </w:rPr>
        <w:t xml:space="preserve"> </w:t>
      </w:r>
      <w:r w:rsidR="00550FF4">
        <w:rPr>
          <w:rFonts w:cstheme="minorHAnsi"/>
          <w:bCs/>
        </w:rPr>
        <w:t xml:space="preserve">                                  </w:t>
      </w:r>
      <w:r w:rsidR="005E1FE9" w:rsidRPr="00550FF4">
        <w:rPr>
          <w:rFonts w:cstheme="minorHAnsi"/>
          <w:b/>
        </w:rPr>
        <w:t>(</w:t>
      </w:r>
      <w:r w:rsidR="00E8500A" w:rsidRPr="00550FF4">
        <w:rPr>
          <w:rFonts w:cstheme="minorHAnsi"/>
          <w:b/>
        </w:rPr>
        <w:t xml:space="preserve">10 </w:t>
      </w:r>
      <w:r w:rsidR="005E1FE9" w:rsidRPr="00550FF4">
        <w:rPr>
          <w:rFonts w:cstheme="minorHAnsi"/>
          <w:b/>
        </w:rPr>
        <w:t>Marks)</w:t>
      </w:r>
    </w:p>
    <w:p w14:paraId="5F1C6B3C" w14:textId="77777777" w:rsidR="00575BE1" w:rsidRPr="00550FF4" w:rsidRDefault="005E1FE9" w:rsidP="00DC3941">
      <w:pPr>
        <w:jc w:val="both"/>
        <w:rPr>
          <w:rFonts w:cstheme="minorHAnsi"/>
          <w:bCs/>
        </w:rPr>
      </w:pPr>
      <w:r w:rsidRPr="00550FF4">
        <w:rPr>
          <w:rFonts w:cstheme="minorHAnsi"/>
          <w:b/>
          <w:u w:val="single"/>
        </w:rPr>
        <w:t>Questions.4</w:t>
      </w:r>
      <w:r w:rsidR="00413BCB" w:rsidRPr="00550FF4">
        <w:rPr>
          <w:rFonts w:cstheme="minorHAnsi"/>
          <w:b/>
          <w:u w:val="single"/>
        </w:rPr>
        <w:t xml:space="preserve"> </w:t>
      </w:r>
      <w:r w:rsidR="006C0DC6" w:rsidRPr="00550FF4">
        <w:rPr>
          <w:rFonts w:cstheme="minorHAnsi"/>
          <w:b/>
          <w:u w:val="single"/>
        </w:rPr>
        <w:t xml:space="preserve">  </w:t>
      </w:r>
      <w:r w:rsidR="006C0DC6" w:rsidRPr="00550FF4">
        <w:rPr>
          <w:rFonts w:cstheme="minorHAnsi"/>
          <w:bCs/>
        </w:rPr>
        <w:t>As companies continue to migrate to the cloud, understanding the security requirements for keeping data safe has become critical. While third-party cloud computing providers may take on the management of this infrastructure, the responsibility of data asset security and accountability doesn't necessarily shift along with it.</w:t>
      </w:r>
      <w:r w:rsidR="00575BE1" w:rsidRPr="00550FF4">
        <w:rPr>
          <w:rFonts w:cstheme="minorHAnsi"/>
          <w:bCs/>
        </w:rPr>
        <w:t xml:space="preserve"> </w:t>
      </w:r>
      <w:r w:rsidR="006C0DC6" w:rsidRPr="00550FF4">
        <w:rPr>
          <w:rFonts w:cstheme="minorHAnsi"/>
          <w:bCs/>
        </w:rPr>
        <w:t xml:space="preserve">In </w:t>
      </w:r>
      <w:r w:rsidR="00413BCB" w:rsidRPr="00550FF4">
        <w:rPr>
          <w:rFonts w:cstheme="minorHAnsi"/>
          <w:bCs/>
        </w:rPr>
        <w:t>2019 has been a year of shocking security breaches in the cloud, a trend that will only continue unless businesses make a significant course correction. Gartner recently updated their </w:t>
      </w:r>
      <w:hyperlink r:id="rId10" w:history="1">
        <w:r w:rsidR="00413BCB" w:rsidRPr="00550FF4">
          <w:rPr>
            <w:rFonts w:cstheme="minorHAnsi"/>
          </w:rPr>
          <w:t>evaluation</w:t>
        </w:r>
      </w:hyperlink>
      <w:r w:rsidR="00413BCB" w:rsidRPr="00550FF4">
        <w:rPr>
          <w:rFonts w:cstheme="minorHAnsi"/>
          <w:bCs/>
        </w:rPr>
        <w:t> of cloud security and concluded: “Through 2025, 99% of cloud security failures will be the customer’s fault.” </w:t>
      </w:r>
    </w:p>
    <w:p w14:paraId="7E0973C1" w14:textId="59239D51" w:rsidR="005E1FE9" w:rsidRPr="00550FF4" w:rsidRDefault="006C0DC6" w:rsidP="00DC3941">
      <w:pPr>
        <w:jc w:val="both"/>
        <w:rPr>
          <w:rFonts w:cstheme="minorHAnsi"/>
          <w:bCs/>
        </w:rPr>
      </w:pPr>
      <w:r w:rsidRPr="00550FF4">
        <w:rPr>
          <w:rFonts w:cstheme="minorHAnsi"/>
          <w:bCs/>
        </w:rPr>
        <w:t>Explain the role of customer in managing the security of cloud together with cloud service provider</w:t>
      </w:r>
      <w:r w:rsidR="00205263" w:rsidRPr="00550FF4">
        <w:rPr>
          <w:rFonts w:cstheme="minorHAnsi"/>
          <w:bCs/>
        </w:rPr>
        <w:t xml:space="preserve"> and please share your views on the Personal Data Protection Bill 2019 Joint recently adopted its report Parliamentary Committee (JPC), </w:t>
      </w:r>
      <w:r w:rsidR="006C55E1" w:rsidRPr="00550FF4">
        <w:rPr>
          <w:rFonts w:cstheme="minorHAnsi"/>
          <w:bCs/>
        </w:rPr>
        <w:t>they</w:t>
      </w:r>
      <w:r w:rsidR="00205263" w:rsidRPr="00550FF4">
        <w:rPr>
          <w:rFonts w:cstheme="minorHAnsi"/>
          <w:bCs/>
        </w:rPr>
        <w:t xml:space="preserve"> might finally be tabled in Parliament for discussion. The passing of the PDP Bill 2019 will represent a major milestone for the</w:t>
      </w:r>
      <w:r w:rsidR="006C55E1" w:rsidRPr="00550FF4">
        <w:rPr>
          <w:rFonts w:cstheme="minorHAnsi"/>
          <w:bCs/>
        </w:rPr>
        <w:t xml:space="preserve"> cloud</w:t>
      </w:r>
      <w:r w:rsidR="00205263" w:rsidRPr="00550FF4">
        <w:rPr>
          <w:rFonts w:cstheme="minorHAnsi"/>
          <w:bCs/>
        </w:rPr>
        <w:t xml:space="preserve"> industry.</w:t>
      </w:r>
      <w:r w:rsidR="00413BCB" w:rsidRPr="00550FF4">
        <w:rPr>
          <w:rFonts w:cstheme="minorHAnsi"/>
          <w:bCs/>
        </w:rPr>
        <w:t xml:space="preserve"> </w:t>
      </w:r>
      <w:r w:rsidR="00550FF4">
        <w:rPr>
          <w:rFonts w:cstheme="minorHAnsi"/>
          <w:bCs/>
        </w:rPr>
        <w:t xml:space="preserve">                                    </w:t>
      </w:r>
      <w:r w:rsidR="005E1FE9" w:rsidRPr="00550FF4">
        <w:rPr>
          <w:rFonts w:cstheme="minorHAnsi"/>
          <w:b/>
        </w:rPr>
        <w:t>(</w:t>
      </w:r>
      <w:r w:rsidR="00E27132" w:rsidRPr="00550FF4">
        <w:rPr>
          <w:rFonts w:cstheme="minorHAnsi"/>
          <w:b/>
        </w:rPr>
        <w:t xml:space="preserve">10 </w:t>
      </w:r>
      <w:r w:rsidR="005E1FE9" w:rsidRPr="00550FF4">
        <w:rPr>
          <w:rFonts w:cstheme="minorHAnsi"/>
          <w:b/>
        </w:rPr>
        <w:t>Marks)</w:t>
      </w:r>
    </w:p>
    <w:p w14:paraId="56B20071" w14:textId="05C7C273" w:rsidR="007D15C4" w:rsidRPr="00550FF4" w:rsidRDefault="007D15C4" w:rsidP="00DC3941">
      <w:pPr>
        <w:jc w:val="both"/>
        <w:rPr>
          <w:rFonts w:cstheme="minorHAnsi"/>
          <w:b/>
        </w:rPr>
      </w:pPr>
    </w:p>
    <w:p w14:paraId="711F8873" w14:textId="77777777" w:rsidR="007D15C4" w:rsidRPr="00550FF4" w:rsidRDefault="007D15C4" w:rsidP="007D15C4">
      <w:pPr>
        <w:shd w:val="clear" w:color="auto" w:fill="FFFFFF"/>
        <w:spacing w:after="0" w:line="240" w:lineRule="auto"/>
        <w:rPr>
          <w:rFonts w:eastAsia="Times New Roman" w:cstheme="minorHAnsi"/>
          <w:color w:val="500050"/>
          <w:lang w:val="en-IN" w:eastAsia="en-IN"/>
        </w:rPr>
      </w:pPr>
    </w:p>
    <w:p w14:paraId="0A082B9F" w14:textId="143B4F01" w:rsidR="007D15C4" w:rsidRPr="00550FF4" w:rsidRDefault="007D15C4" w:rsidP="007D15C4">
      <w:pPr>
        <w:tabs>
          <w:tab w:val="left" w:pos="3691"/>
          <w:tab w:val="left" w:pos="7765"/>
        </w:tabs>
        <w:spacing w:after="0" w:line="240" w:lineRule="auto"/>
        <w:ind w:left="108"/>
        <w:rPr>
          <w:rFonts w:eastAsia="Times New Roman" w:cstheme="minorHAnsi"/>
          <w:color w:val="222222"/>
          <w:lang w:val="en-IN" w:eastAsia="en-IN"/>
        </w:rPr>
      </w:pPr>
      <w:r w:rsidRPr="00550FF4">
        <w:rPr>
          <w:rFonts w:eastAsia="Times New Roman" w:cstheme="minorHAnsi"/>
          <w:color w:val="500050"/>
          <w:lang w:val="en-IN" w:eastAsia="en-IN"/>
        </w:rPr>
        <w:tab/>
      </w:r>
    </w:p>
    <w:p w14:paraId="5B7B6F9F" w14:textId="77777777" w:rsidR="007D15C4" w:rsidRPr="00550FF4" w:rsidRDefault="007D15C4" w:rsidP="00DC3941">
      <w:pPr>
        <w:jc w:val="both"/>
        <w:rPr>
          <w:rFonts w:cstheme="minorHAnsi"/>
          <w:bCs/>
        </w:rPr>
      </w:pPr>
    </w:p>
    <w:sectPr w:rsidR="007D15C4" w:rsidRPr="00550FF4" w:rsidSect="00550FF4">
      <w:pgSz w:w="12240" w:h="15840"/>
      <w:pgMar w:top="284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E1BE4"/>
    <w:multiLevelType w:val="multilevel"/>
    <w:tmpl w:val="8506D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9C13F11"/>
    <w:multiLevelType w:val="hybridMultilevel"/>
    <w:tmpl w:val="D9148C2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0E54B48"/>
    <w:multiLevelType w:val="hybridMultilevel"/>
    <w:tmpl w:val="483EFC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6B2194"/>
    <w:multiLevelType w:val="hybridMultilevel"/>
    <w:tmpl w:val="A88ED3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123FB8"/>
    <w:multiLevelType w:val="hybridMultilevel"/>
    <w:tmpl w:val="864A4F2A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BA44AE0"/>
    <w:multiLevelType w:val="singleLevel"/>
    <w:tmpl w:val="4BC67B5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1CA"/>
    <w:rsid w:val="00016942"/>
    <w:rsid w:val="000366BC"/>
    <w:rsid w:val="000627B6"/>
    <w:rsid w:val="000A249E"/>
    <w:rsid w:val="000A2AB9"/>
    <w:rsid w:val="000C5322"/>
    <w:rsid w:val="001206C3"/>
    <w:rsid w:val="00124395"/>
    <w:rsid w:val="00152DCD"/>
    <w:rsid w:val="001A7A11"/>
    <w:rsid w:val="001B2304"/>
    <w:rsid w:val="00205263"/>
    <w:rsid w:val="00224BFF"/>
    <w:rsid w:val="00231B43"/>
    <w:rsid w:val="00271281"/>
    <w:rsid w:val="00281B0A"/>
    <w:rsid w:val="00297426"/>
    <w:rsid w:val="00297D67"/>
    <w:rsid w:val="002A197C"/>
    <w:rsid w:val="002B76DD"/>
    <w:rsid w:val="002C2D26"/>
    <w:rsid w:val="0032070D"/>
    <w:rsid w:val="00321815"/>
    <w:rsid w:val="0032675D"/>
    <w:rsid w:val="0033351E"/>
    <w:rsid w:val="00396829"/>
    <w:rsid w:val="003B07DD"/>
    <w:rsid w:val="003D419C"/>
    <w:rsid w:val="004122F3"/>
    <w:rsid w:val="00413BCB"/>
    <w:rsid w:val="004601CA"/>
    <w:rsid w:val="00495AD9"/>
    <w:rsid w:val="004B74BF"/>
    <w:rsid w:val="004D5D70"/>
    <w:rsid w:val="004E5484"/>
    <w:rsid w:val="0051682C"/>
    <w:rsid w:val="00545E69"/>
    <w:rsid w:val="00550FF4"/>
    <w:rsid w:val="00564C75"/>
    <w:rsid w:val="00570E33"/>
    <w:rsid w:val="00575BE1"/>
    <w:rsid w:val="005E1FE9"/>
    <w:rsid w:val="005E7A1A"/>
    <w:rsid w:val="0062549E"/>
    <w:rsid w:val="00650D9E"/>
    <w:rsid w:val="00651EDA"/>
    <w:rsid w:val="0065267D"/>
    <w:rsid w:val="00652E23"/>
    <w:rsid w:val="00653A7B"/>
    <w:rsid w:val="00675CE7"/>
    <w:rsid w:val="006C0DC6"/>
    <w:rsid w:val="006C55E1"/>
    <w:rsid w:val="006F297D"/>
    <w:rsid w:val="00756C64"/>
    <w:rsid w:val="00771F89"/>
    <w:rsid w:val="00777D25"/>
    <w:rsid w:val="007843D6"/>
    <w:rsid w:val="00791A74"/>
    <w:rsid w:val="007D15C4"/>
    <w:rsid w:val="00816ED0"/>
    <w:rsid w:val="0083126F"/>
    <w:rsid w:val="00891492"/>
    <w:rsid w:val="008B30A0"/>
    <w:rsid w:val="00956C52"/>
    <w:rsid w:val="0098281C"/>
    <w:rsid w:val="00982CBC"/>
    <w:rsid w:val="00985F7E"/>
    <w:rsid w:val="00987DC9"/>
    <w:rsid w:val="009912E0"/>
    <w:rsid w:val="009943EF"/>
    <w:rsid w:val="009A375A"/>
    <w:rsid w:val="009A3FD2"/>
    <w:rsid w:val="009D7E4E"/>
    <w:rsid w:val="00A07BC1"/>
    <w:rsid w:val="00A72BAF"/>
    <w:rsid w:val="00A8523E"/>
    <w:rsid w:val="00AB173E"/>
    <w:rsid w:val="00AB2230"/>
    <w:rsid w:val="00AF0EAA"/>
    <w:rsid w:val="00B2011F"/>
    <w:rsid w:val="00B611EF"/>
    <w:rsid w:val="00BC586E"/>
    <w:rsid w:val="00BD616E"/>
    <w:rsid w:val="00C10A79"/>
    <w:rsid w:val="00C15CAD"/>
    <w:rsid w:val="00C453EE"/>
    <w:rsid w:val="00C92F63"/>
    <w:rsid w:val="00CB767F"/>
    <w:rsid w:val="00CF6431"/>
    <w:rsid w:val="00D10E12"/>
    <w:rsid w:val="00D744BE"/>
    <w:rsid w:val="00D760DB"/>
    <w:rsid w:val="00D95B41"/>
    <w:rsid w:val="00D97BBC"/>
    <w:rsid w:val="00DC3941"/>
    <w:rsid w:val="00DE2886"/>
    <w:rsid w:val="00E03CB9"/>
    <w:rsid w:val="00E17543"/>
    <w:rsid w:val="00E27132"/>
    <w:rsid w:val="00E45A03"/>
    <w:rsid w:val="00E8500A"/>
    <w:rsid w:val="00F252A6"/>
    <w:rsid w:val="00F31B07"/>
    <w:rsid w:val="00F94529"/>
    <w:rsid w:val="00F96888"/>
    <w:rsid w:val="00FA6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9D0F52"/>
  <w15:chartTrackingRefBased/>
  <w15:docId w15:val="{512A5716-1F23-4CF6-959C-8950B339D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0EAA"/>
    <w:pPr>
      <w:spacing w:after="200" w:line="276" w:lineRule="auto"/>
      <w:ind w:left="720"/>
      <w:contextualSpacing/>
    </w:pPr>
  </w:style>
  <w:style w:type="paragraph" w:styleId="BodyTextIndent">
    <w:name w:val="Body Text Indent"/>
    <w:basedOn w:val="Normal"/>
    <w:link w:val="BodyTextIndentChar"/>
    <w:semiHidden/>
    <w:rsid w:val="00E17543"/>
    <w:pPr>
      <w:spacing w:after="0" w:line="240" w:lineRule="auto"/>
      <w:ind w:left="360" w:hanging="36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semiHidden/>
    <w:rsid w:val="00E17543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39"/>
    <w:rsid w:val="00564C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B30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30A0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5E1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A8523E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B611EF"/>
    <w:rPr>
      <w:i/>
      <w:iCs/>
    </w:rPr>
  </w:style>
  <w:style w:type="character" w:styleId="Strong">
    <w:name w:val="Strong"/>
    <w:basedOn w:val="DefaultParagraphFont"/>
    <w:uiPriority w:val="22"/>
    <w:qFormat/>
    <w:rsid w:val="00413B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14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62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2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11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1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3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7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rtner.com/en/newsroom/press-releases/2021-08-02-gartner-says-four-trends-are-shaping-the-future-of-public-cloud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mc.com/blogs/reliability-vs-availability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artner.com/en/newsroom/press-releases/2021-08-02-gartner-says-four-trends-are-shaping-the-future-of-public-cloud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bmc.com/blogs/reliability-vs-availability/" TargetMode="External"/><Relationship Id="rId10" Type="http://schemas.openxmlformats.org/officeDocument/2006/relationships/hyperlink" Target="https://www.gartner.com/smarterwithgartner/is-the-cloud-secure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3</Pages>
  <Words>511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Reena Agarwal</dc:creator>
  <cp:keywords/>
  <dc:description/>
  <cp:lastModifiedBy>admin</cp:lastModifiedBy>
  <cp:revision>22</cp:revision>
  <cp:lastPrinted>2022-04-13T07:29:00Z</cp:lastPrinted>
  <dcterms:created xsi:type="dcterms:W3CDTF">2022-04-13T04:24:00Z</dcterms:created>
  <dcterms:modified xsi:type="dcterms:W3CDTF">2022-04-13T07:34:00Z</dcterms:modified>
</cp:coreProperties>
</file>