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B1CA4">
              <w:rPr>
                <w:rFonts w:ascii="Calibri" w:hAnsi="Calibri" w:cs="Calibri"/>
                <w:b/>
                <w:color w:val="000000" w:themeColor="text1"/>
                <w:sz w:val="28"/>
                <w:szCs w:val="28"/>
                <w:lang w:val="en-IN"/>
              </w:rPr>
              <w:t>Corporate Finance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7B1CA4">
              <w:rPr>
                <w:rFonts w:ascii="Calibri" w:hAnsi="Calibri" w:cs="Calibri"/>
                <w:b/>
                <w:sz w:val="28"/>
                <w:szCs w:val="28"/>
                <w:lang w:val="en-IN"/>
              </w:rPr>
              <w:t>40202</w:t>
            </w:r>
            <w:r w:rsidRPr="00921E9B">
              <w:rPr>
                <w:rFonts w:ascii="Calibri" w:hAnsi="Calibri" w:cs="Calibri"/>
                <w:b/>
                <w:sz w:val="28"/>
                <w:szCs w:val="28"/>
                <w:lang w:val="en-IN"/>
              </w:rPr>
              <w:t>)</w:t>
            </w:r>
          </w:p>
          <w:p w:rsidR="00BB291F" w:rsidRPr="00921E9B" w:rsidRDefault="00234A87" w:rsidP="006D7C8B">
            <w:pPr>
              <w:tabs>
                <w:tab w:val="left" w:pos="90"/>
              </w:tabs>
              <w:spacing w:after="0"/>
              <w:jc w:val="center"/>
              <w:rPr>
                <w:rFonts w:ascii="Calibri" w:hAnsi="Calibri" w:cs="Calibri"/>
                <w:b/>
                <w:sz w:val="32"/>
                <w:szCs w:val="24"/>
                <w:lang w:val="en-IN"/>
              </w:rPr>
            </w:pPr>
            <w:r>
              <w:rPr>
                <w:rFonts w:ascii="Calibri" w:hAnsi="Calibri" w:cs="Calibri"/>
                <w:b/>
                <w:sz w:val="28"/>
                <w:szCs w:val="28"/>
                <w:lang w:val="en-IN"/>
              </w:rPr>
              <w:t>Improvement</w:t>
            </w:r>
            <w:r w:rsidR="00BB291F" w:rsidRPr="00921E9B">
              <w:rPr>
                <w:rFonts w:ascii="Calibri" w:hAnsi="Calibri" w:cs="Calibri"/>
                <w:b/>
                <w:sz w:val="28"/>
                <w:szCs w:val="28"/>
                <w:lang w:val="en-IN"/>
              </w:rPr>
              <w:t xml:space="preserve"> Examination, Term </w:t>
            </w:r>
            <w:r w:rsidR="00524401">
              <w:rPr>
                <w:rFonts w:ascii="Calibri" w:hAnsi="Calibri" w:cs="Calibri"/>
                <w:b/>
                <w:sz w:val="28"/>
                <w:szCs w:val="28"/>
                <w:lang w:val="en-IN"/>
              </w:rPr>
              <w:t>–</w:t>
            </w:r>
            <w:r w:rsidR="00BB291F" w:rsidRPr="00921E9B">
              <w:rPr>
                <w:rFonts w:ascii="Calibri" w:hAnsi="Calibri" w:cs="Calibri"/>
                <w:b/>
                <w:sz w:val="28"/>
                <w:szCs w:val="28"/>
                <w:lang w:val="en-IN"/>
              </w:rPr>
              <w:t xml:space="preserve"> I</w:t>
            </w:r>
            <w:r w:rsidR="00147366">
              <w:rPr>
                <w:rFonts w:ascii="Calibri" w:hAnsi="Calibri" w:cs="Calibri"/>
                <w:b/>
                <w:sz w:val="28"/>
                <w:szCs w:val="28"/>
                <w:lang w:val="en-IN"/>
              </w:rPr>
              <w:t>I</w:t>
            </w:r>
            <w:r w:rsidR="00524401">
              <w:rPr>
                <w:rFonts w:ascii="Calibri" w:hAnsi="Calibri" w:cs="Calibri"/>
                <w:b/>
                <w:sz w:val="28"/>
                <w:szCs w:val="28"/>
                <w:lang w:val="en-IN"/>
              </w:rPr>
              <w:t xml:space="preserve"> (Batch 2022-24)</w:t>
            </w:r>
            <w:r w:rsidR="00BB291F" w:rsidRPr="00921E9B">
              <w:rPr>
                <w:rFonts w:ascii="Calibri" w:hAnsi="Calibri" w:cs="Calibri"/>
                <w:b/>
                <w:sz w:val="28"/>
                <w:szCs w:val="28"/>
                <w:lang w:val="en-IN"/>
              </w:rPr>
              <w:t xml:space="preserve"> (</w:t>
            </w:r>
            <w:r w:rsidR="006D7C8B">
              <w:rPr>
                <w:rFonts w:ascii="Calibri" w:hAnsi="Calibri" w:cs="Calibri"/>
                <w:b/>
                <w:sz w:val="28"/>
                <w:szCs w:val="28"/>
                <w:lang w:val="en-IN"/>
              </w:rPr>
              <w:t xml:space="preserve">March </w:t>
            </w:r>
            <w:r w:rsidR="00BB291F" w:rsidRPr="00921E9B">
              <w:rPr>
                <w:rFonts w:ascii="Calibri" w:hAnsi="Calibri" w:cs="Calibri"/>
                <w:b/>
                <w:sz w:val="28"/>
                <w:szCs w:val="28"/>
                <w:lang w:val="en-IN"/>
              </w:rPr>
              <w:t>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Default="00E61C02" w:rsidP="00000F8C">
      <w:pPr>
        <w:spacing w:after="0" w:line="240" w:lineRule="auto"/>
        <w:jc w:val="both"/>
        <w:rPr>
          <w:rFonts w:ascii="Calibri" w:hAnsi="Calibri" w:cs="Calibri"/>
          <w:b/>
          <w:sz w:val="24"/>
          <w:szCs w:val="24"/>
        </w:rPr>
      </w:pPr>
      <w:r w:rsidRPr="00921E9B">
        <w:rPr>
          <w:rFonts w:ascii="Calibri" w:hAnsi="Calibri" w:cs="Calibri"/>
          <w:b/>
          <w:i/>
          <w:iCs/>
          <w:sz w:val="24"/>
          <w:szCs w:val="24"/>
        </w:rPr>
        <w:t>Instructions</w:t>
      </w:r>
      <w:r w:rsidRPr="00921E9B">
        <w:rPr>
          <w:rFonts w:ascii="Calibri" w:hAnsi="Calibri" w:cs="Calibri"/>
          <w:b/>
          <w:sz w:val="24"/>
          <w:szCs w:val="24"/>
        </w:rPr>
        <w:t>:</w:t>
      </w:r>
    </w:p>
    <w:p w:rsidR="007B1CA4" w:rsidRDefault="007B1CA4" w:rsidP="00000F8C">
      <w:pPr>
        <w:spacing w:after="0" w:line="240" w:lineRule="auto"/>
        <w:jc w:val="both"/>
        <w:rPr>
          <w:rFonts w:ascii="Calibri" w:hAnsi="Calibri" w:cs="Calibri"/>
          <w:b/>
          <w:sz w:val="24"/>
          <w:szCs w:val="24"/>
        </w:rPr>
      </w:pP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 xml:space="preserve">This exam is </w:t>
      </w:r>
      <w:r w:rsidRPr="007B1CA4">
        <w:rPr>
          <w:rFonts w:eastAsia="Times New Roman" w:cstheme="minorHAnsi"/>
          <w:i/>
          <w:sz w:val="24"/>
          <w:szCs w:val="24"/>
          <w:lang w:val="en-IN" w:eastAsia="en-IN"/>
        </w:rPr>
        <w:t>completely </w:t>
      </w:r>
      <w:r>
        <w:rPr>
          <w:rFonts w:eastAsia="Times New Roman" w:cstheme="minorHAnsi"/>
          <w:i/>
          <w:sz w:val="24"/>
          <w:szCs w:val="24"/>
          <w:lang w:val="en-IN" w:eastAsia="en-IN"/>
        </w:rPr>
        <w:t>an MS -</w:t>
      </w:r>
      <w:r w:rsidRPr="007B1CA4">
        <w:rPr>
          <w:rFonts w:eastAsia="Times New Roman" w:cstheme="minorHAnsi"/>
          <w:i/>
          <w:sz w:val="24"/>
          <w:szCs w:val="24"/>
          <w:lang w:val="en-IN" w:eastAsia="en-IN"/>
        </w:rPr>
        <w:t>excel based exam</w:t>
      </w:r>
    </w:p>
    <w:p w:rsid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No answer sheet will be given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Students need to submit one excel workbook as an answer script. The workbook will have multiple worksheets.</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Students </w:t>
      </w:r>
      <w:r>
        <w:rPr>
          <w:rFonts w:eastAsia="Times New Roman" w:cstheme="minorHAnsi"/>
          <w:i/>
          <w:sz w:val="24"/>
          <w:szCs w:val="24"/>
          <w:lang w:val="en-IN" w:eastAsia="en-IN"/>
        </w:rPr>
        <w:t>need to</w:t>
      </w:r>
      <w:r w:rsidRPr="007B1CA4">
        <w:rPr>
          <w:rFonts w:eastAsia="Times New Roman" w:cstheme="minorHAnsi"/>
          <w:i/>
          <w:sz w:val="24"/>
          <w:szCs w:val="24"/>
          <w:lang w:val="en-IN" w:eastAsia="en-IN"/>
        </w:rPr>
        <w:t xml:space="preserve"> solve each question in a separate </w:t>
      </w:r>
      <w:r>
        <w:rPr>
          <w:rFonts w:eastAsia="Times New Roman" w:cstheme="minorHAnsi"/>
          <w:i/>
          <w:sz w:val="24"/>
          <w:szCs w:val="24"/>
          <w:lang w:val="en-IN" w:eastAsia="en-IN"/>
        </w:rPr>
        <w:t>worksheet</w:t>
      </w:r>
      <w:r w:rsidRPr="007B1CA4">
        <w:rPr>
          <w:rFonts w:eastAsia="Times New Roman" w:cstheme="minorHAnsi"/>
          <w:i/>
          <w:sz w:val="24"/>
          <w:szCs w:val="24"/>
          <w:lang w:val="en-IN" w:eastAsia="en-IN"/>
        </w:rPr>
        <w:t xml:space="preserve"> and name the worksheet with ques no.</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 xml:space="preserve"> </w:t>
      </w:r>
      <w:r w:rsidRPr="007B1CA4">
        <w:rPr>
          <w:rFonts w:eastAsia="Times New Roman" w:cstheme="minorHAnsi"/>
          <w:i/>
          <w:sz w:val="24"/>
          <w:szCs w:val="24"/>
          <w:lang w:val="en-IN" w:eastAsia="en-IN"/>
        </w:rPr>
        <w:t>No Internet access will be given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 No formula, interest factors tables will be provided</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 Students should continually keep</w:t>
      </w:r>
      <w:r>
        <w:rPr>
          <w:rFonts w:eastAsia="Times New Roman" w:cstheme="minorHAnsi"/>
          <w:i/>
          <w:sz w:val="24"/>
          <w:szCs w:val="24"/>
          <w:lang w:val="en-IN" w:eastAsia="en-IN"/>
        </w:rPr>
        <w:t xml:space="preserve"> </w:t>
      </w:r>
      <w:r w:rsidRPr="007B1CA4">
        <w:rPr>
          <w:rFonts w:eastAsia="Times New Roman" w:cstheme="minorHAnsi"/>
          <w:i/>
          <w:sz w:val="24"/>
          <w:szCs w:val="24"/>
          <w:lang w:val="en-IN" w:eastAsia="en-IN"/>
        </w:rPr>
        <w:t>saving their work</w:t>
      </w:r>
    </w:p>
    <w:p w:rsid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Students should s</w:t>
      </w:r>
      <w:r w:rsidRPr="007B1CA4">
        <w:rPr>
          <w:rFonts w:eastAsia="Times New Roman" w:cstheme="minorHAnsi"/>
          <w:i/>
          <w:sz w:val="24"/>
          <w:szCs w:val="24"/>
          <w:lang w:val="en-IN" w:eastAsia="en-IN"/>
        </w:rPr>
        <w:t xml:space="preserve">ave the final excel answer sheet with </w:t>
      </w:r>
      <w:r>
        <w:rPr>
          <w:rFonts w:eastAsia="Times New Roman" w:cstheme="minorHAnsi"/>
          <w:i/>
          <w:sz w:val="24"/>
          <w:szCs w:val="24"/>
          <w:lang w:val="en-IN" w:eastAsia="en-IN"/>
        </w:rPr>
        <w:t>their</w:t>
      </w:r>
      <w:r w:rsidRPr="007B1CA4">
        <w:rPr>
          <w:rFonts w:eastAsia="Times New Roman" w:cstheme="minorHAnsi"/>
          <w:i/>
          <w:sz w:val="24"/>
          <w:szCs w:val="24"/>
          <w:lang w:val="en-IN" w:eastAsia="en-IN"/>
        </w:rPr>
        <w:t xml:space="preserve"> name, roll no. and division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Do not write anything on the question paper apart from your roll no.</w:t>
      </w:r>
    </w:p>
    <w:p w:rsidR="000C6F0D" w:rsidRPr="007B1CA4" w:rsidRDefault="000C6F0D" w:rsidP="007B1CA4">
      <w:pPr>
        <w:pBdr>
          <w:bottom w:val="single" w:sz="6" w:space="10" w:color="auto"/>
        </w:pBdr>
        <w:spacing w:after="0"/>
        <w:jc w:val="both"/>
        <w:rPr>
          <w:rFonts w:ascii="Calibri" w:hAnsi="Calibri" w:cs="Calibri"/>
          <w:bCs/>
          <w:i/>
          <w:sz w:val="24"/>
          <w:szCs w:val="24"/>
        </w:rPr>
      </w:pPr>
    </w:p>
    <w:p w:rsidR="00AF7654" w:rsidRDefault="00AF7654" w:rsidP="00AF7654">
      <w:pPr>
        <w:spacing w:after="0"/>
        <w:ind w:left="360"/>
        <w:jc w:val="both"/>
        <w:rPr>
          <w:rFonts w:ascii="Calibri" w:hAnsi="Calibri" w:cs="Calibri"/>
          <w:bCs/>
          <w:i/>
          <w:sz w:val="24"/>
          <w:szCs w:val="24"/>
        </w:rPr>
      </w:pPr>
    </w:p>
    <w:p w:rsidR="007B1CA4" w:rsidRPr="00213068" w:rsidRDefault="007B1CA4" w:rsidP="00EF2F73">
      <w:pPr>
        <w:spacing w:after="0"/>
        <w:ind w:left="360"/>
        <w:jc w:val="both"/>
        <w:rPr>
          <w:rFonts w:cstheme="minorHAnsi"/>
          <w:b/>
          <w:bCs/>
          <w:sz w:val="24"/>
          <w:szCs w:val="24"/>
        </w:rPr>
      </w:pPr>
      <w:r w:rsidRPr="00213068">
        <w:rPr>
          <w:rFonts w:cstheme="minorHAnsi"/>
          <w:b/>
          <w:bCs/>
          <w:sz w:val="24"/>
          <w:szCs w:val="24"/>
        </w:rPr>
        <w:t>Q1</w:t>
      </w:r>
      <w:r w:rsidR="00213068" w:rsidRPr="00213068">
        <w:rPr>
          <w:rFonts w:cstheme="minorHAnsi"/>
          <w:b/>
          <w:bCs/>
          <w:sz w:val="24"/>
          <w:szCs w:val="24"/>
        </w:rPr>
        <w:t>.</w:t>
      </w:r>
      <w:r w:rsidRPr="00213068">
        <w:rPr>
          <w:rFonts w:cstheme="minorHAnsi"/>
          <w:b/>
          <w:bCs/>
          <w:sz w:val="24"/>
          <w:szCs w:val="24"/>
        </w:rPr>
        <w:t xml:space="preserve"> </w:t>
      </w:r>
    </w:p>
    <w:p w:rsidR="00CF37F0" w:rsidRPr="00EF2F73" w:rsidRDefault="00CF37F0" w:rsidP="00EF2F73">
      <w:pPr>
        <w:pStyle w:val="ListParagraph"/>
        <w:spacing w:after="160"/>
        <w:rPr>
          <w:rFonts w:cstheme="minorHAnsi"/>
          <w:sz w:val="24"/>
          <w:szCs w:val="24"/>
          <w:lang w:val="en-IN"/>
        </w:rPr>
      </w:pPr>
      <w:r w:rsidRPr="00EF2F73">
        <w:rPr>
          <w:rFonts w:cstheme="minorHAnsi"/>
          <w:sz w:val="24"/>
          <w:szCs w:val="24"/>
          <w:lang w:val="en-IN"/>
        </w:rPr>
        <w:t xml:space="preserve">a) The following are the cash flows from a project: </w:t>
      </w:r>
    </w:p>
    <w:tbl>
      <w:tblPr>
        <w:tblStyle w:val="TableGrid"/>
        <w:tblW w:w="0" w:type="auto"/>
        <w:tblInd w:w="720" w:type="dxa"/>
        <w:tblLook w:val="04A0" w:firstRow="1" w:lastRow="0" w:firstColumn="1" w:lastColumn="0" w:noHBand="0" w:noVBand="1"/>
      </w:tblPr>
      <w:tblGrid>
        <w:gridCol w:w="4304"/>
        <w:gridCol w:w="4326"/>
      </w:tblGrid>
      <w:tr w:rsidR="00CF37F0" w:rsidRPr="00EF2F73" w:rsidTr="00001571">
        <w:tc>
          <w:tcPr>
            <w:tcW w:w="4508" w:type="dxa"/>
          </w:tcPr>
          <w:p w:rsidR="00CF37F0" w:rsidRPr="00EF2F73" w:rsidRDefault="00CF37F0" w:rsidP="00EF2F73">
            <w:pPr>
              <w:pStyle w:val="ListParagraph"/>
              <w:ind w:left="0"/>
              <w:jc w:val="center"/>
              <w:rPr>
                <w:rFonts w:cstheme="minorHAnsi"/>
                <w:b/>
                <w:sz w:val="24"/>
                <w:szCs w:val="24"/>
                <w:lang w:val="en-IN"/>
              </w:rPr>
            </w:pPr>
            <w:r w:rsidRPr="00EF2F73">
              <w:rPr>
                <w:rFonts w:cstheme="minorHAnsi"/>
                <w:b/>
                <w:sz w:val="24"/>
                <w:szCs w:val="24"/>
                <w:lang w:val="en-IN"/>
              </w:rPr>
              <w:t>Year</w:t>
            </w:r>
          </w:p>
        </w:tc>
        <w:tc>
          <w:tcPr>
            <w:tcW w:w="4508" w:type="dxa"/>
          </w:tcPr>
          <w:p w:rsidR="00CF37F0" w:rsidRPr="00EF2F73" w:rsidRDefault="00CF37F0" w:rsidP="00EF2F73">
            <w:pPr>
              <w:pStyle w:val="ListParagraph"/>
              <w:ind w:left="0"/>
              <w:jc w:val="center"/>
              <w:rPr>
                <w:rFonts w:cstheme="minorHAnsi"/>
                <w:b/>
                <w:sz w:val="24"/>
                <w:szCs w:val="24"/>
                <w:lang w:val="en-IN"/>
              </w:rPr>
            </w:pPr>
            <w:r w:rsidRPr="00EF2F73">
              <w:rPr>
                <w:rFonts w:cstheme="minorHAnsi"/>
                <w:b/>
                <w:sz w:val="24"/>
                <w:szCs w:val="24"/>
                <w:lang w:val="en-IN"/>
              </w:rPr>
              <w:t>Cash flows ($)</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0</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-2,00,000</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1</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50,000</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2</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1,00,000</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3</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20,000</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4</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50,000</w:t>
            </w:r>
          </w:p>
        </w:tc>
      </w:tr>
    </w:tbl>
    <w:p w:rsidR="00CF37F0" w:rsidRPr="00EF2F73" w:rsidRDefault="00CF37F0" w:rsidP="00EF2F73">
      <w:pPr>
        <w:pStyle w:val="ListParagraph"/>
        <w:rPr>
          <w:rFonts w:cstheme="minorHAnsi"/>
          <w:sz w:val="24"/>
          <w:szCs w:val="24"/>
          <w:lang w:val="en-IN"/>
        </w:rPr>
      </w:pPr>
    </w:p>
    <w:p w:rsidR="00CF37F0" w:rsidRPr="00EF2F73" w:rsidRDefault="00EF2F73" w:rsidP="00EF2F73">
      <w:pPr>
        <w:pStyle w:val="ListParagraph"/>
        <w:jc w:val="both"/>
        <w:rPr>
          <w:rFonts w:cstheme="minorHAnsi"/>
          <w:sz w:val="24"/>
          <w:szCs w:val="24"/>
          <w:lang w:val="en-IN"/>
        </w:rPr>
      </w:pPr>
      <w:r>
        <w:rPr>
          <w:rFonts w:cstheme="minorHAnsi"/>
          <w:sz w:val="24"/>
          <w:szCs w:val="24"/>
          <w:lang w:val="en-IN"/>
        </w:rPr>
        <w:t xml:space="preserve">Appraise </w:t>
      </w:r>
      <w:r w:rsidR="00CF37F0" w:rsidRPr="00EF2F73">
        <w:rPr>
          <w:rFonts w:cstheme="minorHAnsi"/>
          <w:sz w:val="24"/>
          <w:szCs w:val="24"/>
          <w:lang w:val="en-IN"/>
        </w:rPr>
        <w:t>the project using NPV, IRR and Discounted Payback Period method</w:t>
      </w:r>
      <w:r>
        <w:rPr>
          <w:rFonts w:cstheme="minorHAnsi"/>
          <w:sz w:val="24"/>
          <w:szCs w:val="24"/>
          <w:lang w:val="en-IN"/>
        </w:rPr>
        <w:t>s</w:t>
      </w:r>
      <w:r w:rsidR="00CF37F0" w:rsidRPr="00EF2F73">
        <w:rPr>
          <w:rFonts w:cstheme="minorHAnsi"/>
          <w:sz w:val="24"/>
          <w:szCs w:val="24"/>
          <w:lang w:val="en-IN"/>
        </w:rPr>
        <w:t>. The weighted average cost of capi</w:t>
      </w:r>
      <w:r>
        <w:rPr>
          <w:rFonts w:cstheme="minorHAnsi"/>
          <w:sz w:val="24"/>
          <w:szCs w:val="24"/>
          <w:lang w:val="en-IN"/>
        </w:rPr>
        <w:t>tal of the firm is 12% and the M</w:t>
      </w:r>
      <w:r w:rsidR="00CF37F0" w:rsidRPr="00EF2F73">
        <w:rPr>
          <w:rFonts w:cstheme="minorHAnsi"/>
          <w:sz w:val="24"/>
          <w:szCs w:val="24"/>
          <w:lang w:val="en-IN"/>
        </w:rPr>
        <w:t>anagement’s accepted break-even period is 3 years.</w:t>
      </w:r>
      <w:r w:rsidR="00CF37F0" w:rsidRPr="00EF2F73">
        <w:rPr>
          <w:rFonts w:cstheme="minorHAnsi"/>
          <w:sz w:val="24"/>
          <w:szCs w:val="24"/>
          <w:lang w:val="en-IN"/>
        </w:rPr>
        <w:tab/>
      </w:r>
      <w:r w:rsidR="00CF37F0" w:rsidRPr="00EF2F73">
        <w:rPr>
          <w:rFonts w:cstheme="minorHAnsi"/>
          <w:sz w:val="24"/>
          <w:szCs w:val="24"/>
          <w:lang w:val="en-IN"/>
        </w:rPr>
        <w:tab/>
      </w:r>
      <w:r w:rsidR="00CF37F0" w:rsidRPr="00EF2F73">
        <w:rPr>
          <w:rFonts w:cstheme="minorHAnsi"/>
          <w:sz w:val="24"/>
          <w:szCs w:val="24"/>
          <w:lang w:val="en-IN"/>
        </w:rPr>
        <w:tab/>
      </w:r>
    </w:p>
    <w:p w:rsidR="00CF37F0" w:rsidRPr="00DA4F06" w:rsidRDefault="00CF37F0" w:rsidP="00EF2F73">
      <w:pPr>
        <w:pStyle w:val="ListParagraph"/>
        <w:ind w:left="7200" w:firstLine="720"/>
        <w:rPr>
          <w:rFonts w:cstheme="minorHAnsi"/>
          <w:b/>
          <w:sz w:val="24"/>
          <w:szCs w:val="24"/>
          <w:lang w:val="en-IN"/>
        </w:rPr>
      </w:pPr>
      <w:r w:rsidRPr="00DA4F06">
        <w:rPr>
          <w:rFonts w:cstheme="minorHAnsi"/>
          <w:b/>
          <w:bCs/>
          <w:sz w:val="24"/>
          <w:szCs w:val="24"/>
          <w:lang w:val="en-IN"/>
        </w:rPr>
        <w:t>(8 marks</w:t>
      </w:r>
      <w:r w:rsidRPr="00DA4F06">
        <w:rPr>
          <w:rFonts w:cstheme="minorHAnsi"/>
          <w:b/>
          <w:sz w:val="24"/>
          <w:szCs w:val="24"/>
          <w:lang w:val="en-IN"/>
        </w:rPr>
        <w:t>)</w:t>
      </w:r>
    </w:p>
    <w:p w:rsidR="00CF37F0" w:rsidRPr="00EF2F73" w:rsidRDefault="00CF37F0" w:rsidP="00EF2F73">
      <w:pPr>
        <w:pStyle w:val="ListParagraph"/>
        <w:rPr>
          <w:rFonts w:cstheme="minorHAnsi"/>
          <w:sz w:val="24"/>
          <w:szCs w:val="24"/>
          <w:lang w:val="en-IN"/>
        </w:rPr>
      </w:pPr>
    </w:p>
    <w:p w:rsidR="00CF37F0" w:rsidRPr="00EF2F73" w:rsidRDefault="00EF2F73" w:rsidP="00EF2F73">
      <w:pPr>
        <w:pStyle w:val="ListParagraph"/>
        <w:rPr>
          <w:rFonts w:cstheme="minorHAnsi"/>
          <w:sz w:val="24"/>
          <w:szCs w:val="24"/>
          <w:lang w:val="en-IN"/>
        </w:rPr>
      </w:pPr>
      <w:r>
        <w:rPr>
          <w:rFonts w:cstheme="minorHAnsi"/>
          <w:sz w:val="24"/>
          <w:szCs w:val="24"/>
          <w:lang w:val="en-IN"/>
        </w:rPr>
        <w:lastRenderedPageBreak/>
        <w:t>b)</w:t>
      </w:r>
      <w:r w:rsidR="00CF37F0" w:rsidRPr="00EF2F73">
        <w:rPr>
          <w:rFonts w:cstheme="minorHAnsi"/>
          <w:sz w:val="24"/>
          <w:szCs w:val="24"/>
          <w:lang w:val="en-IN"/>
        </w:rPr>
        <w:t xml:space="preserve"> Australia Mine Corporation has the following cash flows for a project: </w:t>
      </w:r>
    </w:p>
    <w:p w:rsidR="00CF37F0" w:rsidRPr="00EF2F73" w:rsidRDefault="00CF37F0" w:rsidP="00EF2F73">
      <w:pPr>
        <w:pStyle w:val="ListParagraph"/>
        <w:rPr>
          <w:rFonts w:cstheme="minorHAnsi"/>
          <w:sz w:val="24"/>
          <w:szCs w:val="24"/>
          <w:lang w:val="en-IN"/>
        </w:rPr>
      </w:pPr>
    </w:p>
    <w:tbl>
      <w:tblPr>
        <w:tblStyle w:val="TableGrid"/>
        <w:tblW w:w="0" w:type="auto"/>
        <w:tblInd w:w="720" w:type="dxa"/>
        <w:tblLook w:val="04A0" w:firstRow="1" w:lastRow="0" w:firstColumn="1" w:lastColumn="0" w:noHBand="0" w:noVBand="1"/>
      </w:tblPr>
      <w:tblGrid>
        <w:gridCol w:w="4309"/>
        <w:gridCol w:w="4321"/>
      </w:tblGrid>
      <w:tr w:rsidR="00CF37F0" w:rsidRPr="00EF2F73" w:rsidTr="00001571">
        <w:tc>
          <w:tcPr>
            <w:tcW w:w="4508" w:type="dxa"/>
          </w:tcPr>
          <w:p w:rsidR="00CF37F0" w:rsidRPr="00EF2F73" w:rsidRDefault="00CF37F0" w:rsidP="00EF2F73">
            <w:pPr>
              <w:pStyle w:val="ListParagraph"/>
              <w:ind w:left="0"/>
              <w:jc w:val="center"/>
              <w:rPr>
                <w:rFonts w:cstheme="minorHAnsi"/>
                <w:b/>
                <w:sz w:val="24"/>
                <w:szCs w:val="24"/>
                <w:lang w:val="en-IN"/>
              </w:rPr>
            </w:pPr>
            <w:r w:rsidRPr="00EF2F73">
              <w:rPr>
                <w:rFonts w:cstheme="minorHAnsi"/>
                <w:b/>
                <w:sz w:val="24"/>
                <w:szCs w:val="24"/>
                <w:lang w:val="en-IN"/>
              </w:rPr>
              <w:t>Year</w:t>
            </w:r>
          </w:p>
        </w:tc>
        <w:tc>
          <w:tcPr>
            <w:tcW w:w="4508" w:type="dxa"/>
          </w:tcPr>
          <w:p w:rsidR="00CF37F0" w:rsidRPr="00EF2F73" w:rsidRDefault="00CF37F0" w:rsidP="00EF2F73">
            <w:pPr>
              <w:pStyle w:val="ListParagraph"/>
              <w:ind w:left="0"/>
              <w:jc w:val="center"/>
              <w:rPr>
                <w:rFonts w:cstheme="minorHAnsi"/>
                <w:b/>
                <w:sz w:val="24"/>
                <w:szCs w:val="24"/>
                <w:lang w:val="en-IN"/>
              </w:rPr>
            </w:pPr>
            <w:r w:rsidRPr="00EF2F73">
              <w:rPr>
                <w:rFonts w:cstheme="minorHAnsi"/>
                <w:b/>
                <w:sz w:val="24"/>
                <w:szCs w:val="24"/>
                <w:lang w:val="en-IN"/>
              </w:rPr>
              <w:t>Cash flows in million $</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0</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-12</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1</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5</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2</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10</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3</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-2</w:t>
            </w:r>
          </w:p>
        </w:tc>
      </w:tr>
      <w:tr w:rsidR="00CF37F0" w:rsidRPr="00EF2F73" w:rsidTr="00001571">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4</w:t>
            </w:r>
          </w:p>
        </w:tc>
        <w:tc>
          <w:tcPr>
            <w:tcW w:w="4508" w:type="dxa"/>
          </w:tcPr>
          <w:p w:rsidR="00CF37F0" w:rsidRPr="00EF2F73" w:rsidRDefault="00CF37F0" w:rsidP="00EF2F73">
            <w:pPr>
              <w:pStyle w:val="ListParagraph"/>
              <w:ind w:left="0"/>
              <w:jc w:val="center"/>
              <w:rPr>
                <w:rFonts w:cstheme="minorHAnsi"/>
                <w:sz w:val="24"/>
                <w:szCs w:val="24"/>
                <w:lang w:val="en-IN"/>
              </w:rPr>
            </w:pPr>
            <w:r w:rsidRPr="00EF2F73">
              <w:rPr>
                <w:rFonts w:cstheme="minorHAnsi"/>
                <w:sz w:val="24"/>
                <w:szCs w:val="24"/>
                <w:lang w:val="en-IN"/>
              </w:rPr>
              <w:t>10</w:t>
            </w:r>
          </w:p>
        </w:tc>
      </w:tr>
    </w:tbl>
    <w:p w:rsidR="00CF37F0" w:rsidRPr="00EF2F73" w:rsidRDefault="00CF37F0" w:rsidP="00EF2F73">
      <w:pPr>
        <w:pStyle w:val="ListParagraph"/>
        <w:rPr>
          <w:rFonts w:cstheme="minorHAnsi"/>
          <w:sz w:val="24"/>
          <w:szCs w:val="24"/>
          <w:lang w:val="en-IN"/>
        </w:rPr>
      </w:pPr>
    </w:p>
    <w:p w:rsidR="00CF37F0" w:rsidRPr="00EF2F73" w:rsidRDefault="00CF37F0" w:rsidP="00EF2F73">
      <w:pPr>
        <w:pStyle w:val="ListParagraph"/>
        <w:jc w:val="both"/>
        <w:rPr>
          <w:rFonts w:cstheme="minorHAnsi"/>
          <w:sz w:val="24"/>
          <w:szCs w:val="24"/>
          <w:lang w:val="en-IN"/>
        </w:rPr>
      </w:pPr>
      <w:r w:rsidRPr="00EF2F73">
        <w:rPr>
          <w:rFonts w:cstheme="minorHAnsi"/>
          <w:sz w:val="24"/>
          <w:szCs w:val="24"/>
          <w:lang w:val="en-IN"/>
        </w:rPr>
        <w:t>Contrast the methods of IRR and MIRR for analysing the above project. If the required rate of return is 12%, should Australia Mine Corporation accept or reject the project?</w:t>
      </w:r>
      <w:r w:rsidR="00EF2F73" w:rsidRPr="00EF2F73">
        <w:rPr>
          <w:rFonts w:cstheme="minorHAnsi"/>
          <w:sz w:val="24"/>
          <w:szCs w:val="24"/>
          <w:lang w:val="en-IN"/>
        </w:rPr>
        <w:t xml:space="preserve"> Financing cost is 12%.</w:t>
      </w:r>
    </w:p>
    <w:p w:rsidR="002646F0" w:rsidRPr="00EF2F73" w:rsidRDefault="002646F0" w:rsidP="00EF2F73">
      <w:pPr>
        <w:pStyle w:val="ListParagraph"/>
        <w:jc w:val="both"/>
        <w:rPr>
          <w:rFonts w:cstheme="minorHAnsi"/>
          <w:sz w:val="24"/>
          <w:szCs w:val="24"/>
          <w:lang w:val="en-IN"/>
        </w:rPr>
      </w:pPr>
    </w:p>
    <w:p w:rsidR="00CF37F0" w:rsidRPr="00DA4F06" w:rsidRDefault="00CF37F0" w:rsidP="00EF2F73">
      <w:pPr>
        <w:pStyle w:val="ListParagraph"/>
        <w:rPr>
          <w:rFonts w:cstheme="minorHAnsi"/>
          <w:b/>
          <w:bCs/>
          <w:sz w:val="24"/>
          <w:szCs w:val="24"/>
          <w:lang w:val="en-IN"/>
        </w:rPr>
      </w:pP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EF2F73">
        <w:rPr>
          <w:rFonts w:cstheme="minorHAnsi"/>
          <w:sz w:val="24"/>
          <w:szCs w:val="24"/>
          <w:lang w:val="en-IN"/>
        </w:rPr>
        <w:tab/>
      </w:r>
      <w:r w:rsidRPr="00DA4F06">
        <w:rPr>
          <w:rFonts w:cstheme="minorHAnsi"/>
          <w:b/>
          <w:bCs/>
          <w:sz w:val="24"/>
          <w:szCs w:val="24"/>
          <w:lang w:val="en-IN"/>
        </w:rPr>
        <w:t>(6 marks)</w:t>
      </w:r>
    </w:p>
    <w:p w:rsidR="00CF37F0" w:rsidRPr="00EF2F73" w:rsidRDefault="00CF37F0" w:rsidP="00EF2F73">
      <w:pPr>
        <w:spacing w:after="160"/>
        <w:rPr>
          <w:rFonts w:cstheme="minorHAnsi"/>
          <w:color w:val="000000" w:themeColor="text1"/>
          <w:sz w:val="24"/>
          <w:szCs w:val="24"/>
        </w:rPr>
      </w:pPr>
      <w:r w:rsidRPr="00213068">
        <w:rPr>
          <w:rFonts w:cstheme="minorHAnsi"/>
          <w:b/>
          <w:color w:val="000000" w:themeColor="text1"/>
          <w:sz w:val="24"/>
          <w:szCs w:val="24"/>
        </w:rPr>
        <w:t>Q2.</w:t>
      </w:r>
      <w:r w:rsidRPr="00EF2F73">
        <w:rPr>
          <w:rFonts w:cstheme="minorHAnsi"/>
          <w:color w:val="000000" w:themeColor="text1"/>
          <w:sz w:val="24"/>
          <w:szCs w:val="24"/>
        </w:rPr>
        <w:t xml:space="preserve"> The following is the capital structure of Simons Company Ltd. as of 31</w:t>
      </w:r>
      <w:r w:rsidR="002646F0" w:rsidRPr="00EF2F73">
        <w:rPr>
          <w:rFonts w:cstheme="minorHAnsi"/>
          <w:color w:val="000000" w:themeColor="text1"/>
          <w:sz w:val="24"/>
          <w:szCs w:val="24"/>
        </w:rPr>
        <w:t xml:space="preserve"> March of the</w:t>
      </w:r>
      <w:r w:rsidRPr="00EF2F73">
        <w:rPr>
          <w:rFonts w:cstheme="minorHAnsi"/>
          <w:color w:val="000000" w:themeColor="text1"/>
          <w:sz w:val="24"/>
          <w:szCs w:val="24"/>
        </w:rPr>
        <w:t xml:space="preserve"> current year</w:t>
      </w:r>
    </w:p>
    <w:p w:rsidR="00CF37F0" w:rsidRPr="00EF2F73" w:rsidRDefault="00CF37F0" w:rsidP="00EF2F73">
      <w:pPr>
        <w:rPr>
          <w:rFonts w:cstheme="minorHAnsi"/>
          <w:color w:val="000000" w:themeColor="text1"/>
          <w:sz w:val="24"/>
          <w:szCs w:val="24"/>
        </w:rPr>
      </w:pPr>
      <w:r w:rsidRPr="00EF2F73">
        <w:rPr>
          <w:rFonts w:cstheme="minorHAnsi"/>
          <w:color w:val="000000" w:themeColor="text1"/>
          <w:sz w:val="24"/>
          <w:szCs w:val="24"/>
        </w:rPr>
        <w:t xml:space="preserve">Equity share: 10,000 shares (of </w:t>
      </w:r>
      <w:r w:rsidRPr="00EF2F73">
        <w:rPr>
          <w:rFonts w:cstheme="minorHAnsi"/>
          <w:sz w:val="24"/>
          <w:szCs w:val="24"/>
          <w:lang w:val="en-IN"/>
        </w:rPr>
        <w:t>$</w:t>
      </w:r>
      <w:r w:rsidRPr="00EF2F73">
        <w:rPr>
          <w:rFonts w:cstheme="minorHAnsi"/>
          <w:color w:val="000000" w:themeColor="text1"/>
          <w:sz w:val="24"/>
          <w:szCs w:val="24"/>
        </w:rPr>
        <w:t xml:space="preserve"> 100 each) </w:t>
      </w:r>
      <w:r w:rsidRPr="00EF2F73">
        <w:rPr>
          <w:rFonts w:cstheme="minorHAnsi"/>
          <w:sz w:val="24"/>
          <w:szCs w:val="24"/>
          <w:lang w:val="en-IN"/>
        </w:rPr>
        <w:t>$</w:t>
      </w:r>
      <w:r w:rsidRPr="00EF2F73">
        <w:rPr>
          <w:rFonts w:cstheme="minorHAnsi"/>
          <w:color w:val="000000" w:themeColor="text1"/>
          <w:sz w:val="24"/>
          <w:szCs w:val="24"/>
        </w:rPr>
        <w:t xml:space="preserve"> 10, 00,000 </w:t>
      </w:r>
    </w:p>
    <w:p w:rsidR="00CF37F0" w:rsidRPr="00EF2F73" w:rsidRDefault="00CF37F0" w:rsidP="00EF2F73">
      <w:pPr>
        <w:rPr>
          <w:rFonts w:cstheme="minorHAnsi"/>
          <w:color w:val="000000" w:themeColor="text1"/>
          <w:sz w:val="24"/>
          <w:szCs w:val="24"/>
        </w:rPr>
      </w:pPr>
      <w:r w:rsidRPr="00EF2F73">
        <w:rPr>
          <w:rFonts w:cstheme="minorHAnsi"/>
          <w:color w:val="000000" w:themeColor="text1"/>
          <w:sz w:val="24"/>
          <w:szCs w:val="24"/>
        </w:rPr>
        <w:t xml:space="preserve">12% Preference shares (of </w:t>
      </w:r>
      <w:r w:rsidRPr="00EF2F73">
        <w:rPr>
          <w:rFonts w:cstheme="minorHAnsi"/>
          <w:sz w:val="24"/>
          <w:szCs w:val="24"/>
          <w:lang w:val="en-IN"/>
        </w:rPr>
        <w:t xml:space="preserve">$ </w:t>
      </w:r>
      <w:r w:rsidRPr="00EF2F73">
        <w:rPr>
          <w:rFonts w:cstheme="minorHAnsi"/>
          <w:color w:val="000000" w:themeColor="text1"/>
          <w:sz w:val="24"/>
          <w:szCs w:val="24"/>
        </w:rPr>
        <w:t>100 each)</w:t>
      </w:r>
      <w:r w:rsidRPr="00EF2F73">
        <w:rPr>
          <w:rFonts w:cstheme="minorHAnsi"/>
          <w:sz w:val="24"/>
          <w:szCs w:val="24"/>
          <w:lang w:val="en-IN"/>
        </w:rPr>
        <w:t xml:space="preserve"> $</w:t>
      </w:r>
      <w:r w:rsidRPr="00EF2F73">
        <w:rPr>
          <w:rFonts w:cstheme="minorHAnsi"/>
          <w:color w:val="000000" w:themeColor="text1"/>
          <w:sz w:val="24"/>
          <w:szCs w:val="24"/>
        </w:rPr>
        <w:t xml:space="preserve"> 4, 00,000</w:t>
      </w:r>
    </w:p>
    <w:p w:rsidR="00CF37F0" w:rsidRPr="00EF2F73" w:rsidRDefault="00CF37F0" w:rsidP="00EF2F73">
      <w:pPr>
        <w:rPr>
          <w:rFonts w:cstheme="minorHAnsi"/>
          <w:color w:val="000000" w:themeColor="text1"/>
          <w:sz w:val="24"/>
          <w:szCs w:val="24"/>
        </w:rPr>
      </w:pPr>
      <w:bookmarkStart w:id="0" w:name="_GoBack"/>
      <w:bookmarkEnd w:id="0"/>
      <w:r w:rsidRPr="00EF2F73">
        <w:rPr>
          <w:rFonts w:cstheme="minorHAnsi"/>
          <w:color w:val="000000" w:themeColor="text1"/>
          <w:sz w:val="24"/>
          <w:szCs w:val="24"/>
        </w:rPr>
        <w:t xml:space="preserve">10% Debentures (of </w:t>
      </w:r>
      <w:r w:rsidRPr="00EF2F73">
        <w:rPr>
          <w:rFonts w:cstheme="minorHAnsi"/>
          <w:sz w:val="24"/>
          <w:szCs w:val="24"/>
          <w:lang w:val="en-IN"/>
        </w:rPr>
        <w:t xml:space="preserve">$ </w:t>
      </w:r>
      <w:r w:rsidRPr="00EF2F73">
        <w:rPr>
          <w:rFonts w:cstheme="minorHAnsi"/>
          <w:color w:val="000000" w:themeColor="text1"/>
          <w:sz w:val="24"/>
          <w:szCs w:val="24"/>
        </w:rPr>
        <w:t>100 each</w:t>
      </w:r>
      <w:r w:rsidRPr="00EF2F73">
        <w:rPr>
          <w:rFonts w:cstheme="minorHAnsi"/>
          <w:sz w:val="24"/>
          <w:szCs w:val="24"/>
          <w:lang w:val="en-IN"/>
        </w:rPr>
        <w:t>) $</w:t>
      </w:r>
      <w:r w:rsidRPr="00EF2F73">
        <w:rPr>
          <w:rFonts w:cstheme="minorHAnsi"/>
          <w:color w:val="000000" w:themeColor="text1"/>
          <w:sz w:val="24"/>
          <w:szCs w:val="24"/>
        </w:rPr>
        <w:t xml:space="preserve"> 6, 00,000</w:t>
      </w:r>
    </w:p>
    <w:p w:rsidR="00CF37F0" w:rsidRPr="00EF2F73" w:rsidRDefault="00CF37F0" w:rsidP="00EF2F73">
      <w:pPr>
        <w:rPr>
          <w:rFonts w:cstheme="minorHAnsi"/>
          <w:color w:val="000000" w:themeColor="text1"/>
          <w:sz w:val="24"/>
          <w:szCs w:val="24"/>
        </w:rPr>
      </w:pPr>
      <w:r w:rsidRPr="00EF2F73">
        <w:rPr>
          <w:rFonts w:cstheme="minorHAnsi"/>
          <w:color w:val="000000" w:themeColor="text1"/>
          <w:sz w:val="24"/>
          <w:szCs w:val="24"/>
        </w:rPr>
        <w:t xml:space="preserve"> The market price of Shares Company’s shares is </w:t>
      </w:r>
      <w:r w:rsidRPr="00EF2F73">
        <w:rPr>
          <w:rFonts w:cstheme="minorHAnsi"/>
          <w:sz w:val="24"/>
          <w:szCs w:val="24"/>
          <w:lang w:val="en-IN"/>
        </w:rPr>
        <w:t>$</w:t>
      </w:r>
      <w:r w:rsidRPr="00EF2F73">
        <w:rPr>
          <w:rFonts w:cstheme="minorHAnsi"/>
          <w:color w:val="000000" w:themeColor="text1"/>
          <w:sz w:val="24"/>
          <w:szCs w:val="24"/>
        </w:rPr>
        <w:t xml:space="preserve">110 and it is expected that a dividend of </w:t>
      </w:r>
      <w:r w:rsidRPr="00EF2F73">
        <w:rPr>
          <w:rFonts w:cstheme="minorHAnsi"/>
          <w:sz w:val="24"/>
          <w:szCs w:val="24"/>
          <w:lang w:val="en-IN"/>
        </w:rPr>
        <w:t>$</w:t>
      </w:r>
      <w:r w:rsidRPr="00EF2F73">
        <w:rPr>
          <w:rFonts w:cstheme="minorHAnsi"/>
          <w:color w:val="000000" w:themeColor="text1"/>
          <w:sz w:val="24"/>
          <w:szCs w:val="24"/>
        </w:rPr>
        <w:t>10 per share would be declared at the end of the current year</w:t>
      </w:r>
      <w:r w:rsidR="002646F0" w:rsidRPr="00EF2F73">
        <w:rPr>
          <w:rFonts w:cstheme="minorHAnsi"/>
          <w:color w:val="000000" w:themeColor="text1"/>
          <w:sz w:val="24"/>
          <w:szCs w:val="24"/>
        </w:rPr>
        <w:t>. The dividend growth rate is 6%.</w:t>
      </w:r>
    </w:p>
    <w:p w:rsidR="00CF37F0" w:rsidRDefault="00CF37F0" w:rsidP="00EF2F73">
      <w:pPr>
        <w:pStyle w:val="ListParagraph"/>
        <w:numPr>
          <w:ilvl w:val="0"/>
          <w:numId w:val="11"/>
        </w:numPr>
        <w:spacing w:after="160"/>
        <w:rPr>
          <w:rFonts w:cstheme="minorHAnsi"/>
          <w:color w:val="000000" w:themeColor="text1"/>
          <w:sz w:val="24"/>
          <w:szCs w:val="24"/>
        </w:rPr>
      </w:pPr>
      <w:r w:rsidRPr="00EF2F73">
        <w:rPr>
          <w:rFonts w:cstheme="minorHAnsi"/>
          <w:color w:val="000000" w:themeColor="text1"/>
          <w:sz w:val="24"/>
          <w:szCs w:val="24"/>
        </w:rPr>
        <w:t>If the company is in the 35 percent tax bracket, compute the weighted average cost of capital based on market value weights.</w:t>
      </w:r>
    </w:p>
    <w:p w:rsidR="00EF2F73" w:rsidRPr="00EF2F73" w:rsidRDefault="00EF2F73" w:rsidP="00EF2F73">
      <w:pPr>
        <w:pStyle w:val="ListParagraph"/>
        <w:spacing w:after="160"/>
        <w:ind w:left="1080"/>
        <w:rPr>
          <w:rFonts w:cstheme="minorHAnsi"/>
          <w:color w:val="000000" w:themeColor="text1"/>
          <w:sz w:val="24"/>
          <w:szCs w:val="24"/>
        </w:rPr>
      </w:pPr>
    </w:p>
    <w:p w:rsidR="00CF37F0" w:rsidRPr="00EF2F73" w:rsidRDefault="00CF37F0" w:rsidP="00EF2F73">
      <w:pPr>
        <w:pStyle w:val="ListParagraph"/>
        <w:numPr>
          <w:ilvl w:val="0"/>
          <w:numId w:val="11"/>
        </w:numPr>
        <w:spacing w:after="160"/>
        <w:jc w:val="both"/>
        <w:rPr>
          <w:rFonts w:cstheme="minorHAnsi"/>
          <w:color w:val="000000" w:themeColor="text1"/>
          <w:sz w:val="24"/>
          <w:szCs w:val="24"/>
        </w:rPr>
      </w:pPr>
      <w:r w:rsidRPr="00EF2F73">
        <w:rPr>
          <w:rFonts w:cstheme="minorHAnsi"/>
          <w:color w:val="000000" w:themeColor="text1"/>
          <w:sz w:val="24"/>
          <w:szCs w:val="24"/>
        </w:rPr>
        <w:t xml:space="preserve"> Assuming that in order to finance an expansion plan, the company intends to borrow a fund of </w:t>
      </w:r>
      <w:r w:rsidRPr="00EF2F73">
        <w:rPr>
          <w:rFonts w:cstheme="minorHAnsi"/>
          <w:sz w:val="24"/>
          <w:szCs w:val="24"/>
          <w:lang w:val="en-IN"/>
        </w:rPr>
        <w:t>$</w:t>
      </w:r>
      <w:r w:rsidRPr="00EF2F73">
        <w:rPr>
          <w:rFonts w:cstheme="minorHAnsi"/>
          <w:color w:val="000000" w:themeColor="text1"/>
          <w:sz w:val="24"/>
          <w:szCs w:val="24"/>
        </w:rPr>
        <w:t xml:space="preserve">10 lakhs at a 12 percent rate of interest. This financing decision is expected to increase the dividend from </w:t>
      </w:r>
      <w:r w:rsidRPr="00EF2F73">
        <w:rPr>
          <w:rFonts w:cstheme="minorHAnsi"/>
          <w:sz w:val="24"/>
          <w:szCs w:val="24"/>
          <w:lang w:val="en-IN"/>
        </w:rPr>
        <w:t>$</w:t>
      </w:r>
      <w:r w:rsidRPr="00EF2F73">
        <w:rPr>
          <w:rFonts w:cstheme="minorHAnsi"/>
          <w:color w:val="000000" w:themeColor="text1"/>
          <w:sz w:val="24"/>
          <w:szCs w:val="24"/>
        </w:rPr>
        <w:t xml:space="preserve">10 to </w:t>
      </w:r>
      <w:r w:rsidRPr="00EF2F73">
        <w:rPr>
          <w:rFonts w:cstheme="minorHAnsi"/>
          <w:sz w:val="24"/>
          <w:szCs w:val="24"/>
          <w:lang w:val="en-IN"/>
        </w:rPr>
        <w:t>$</w:t>
      </w:r>
      <w:r w:rsidRPr="00EF2F73">
        <w:rPr>
          <w:rFonts w:cstheme="minorHAnsi"/>
          <w:color w:val="000000" w:themeColor="text1"/>
          <w:sz w:val="24"/>
          <w:szCs w:val="24"/>
        </w:rPr>
        <w:t xml:space="preserve"> 12 per share. However, the market price of equity shares is expected to decline from </w:t>
      </w:r>
      <w:r w:rsidRPr="00EF2F73">
        <w:rPr>
          <w:rFonts w:cstheme="minorHAnsi"/>
          <w:sz w:val="24"/>
          <w:szCs w:val="24"/>
          <w:lang w:val="en-IN"/>
        </w:rPr>
        <w:t>$</w:t>
      </w:r>
      <w:r w:rsidRPr="00EF2F73">
        <w:rPr>
          <w:rFonts w:cstheme="minorHAnsi"/>
          <w:color w:val="000000" w:themeColor="text1"/>
          <w:sz w:val="24"/>
          <w:szCs w:val="24"/>
        </w:rPr>
        <w:t xml:space="preserve">110 to </w:t>
      </w:r>
      <w:r w:rsidRPr="00EF2F73">
        <w:rPr>
          <w:rFonts w:cstheme="minorHAnsi"/>
          <w:sz w:val="24"/>
          <w:szCs w:val="24"/>
          <w:lang w:val="en-IN"/>
        </w:rPr>
        <w:t>$</w:t>
      </w:r>
      <w:r w:rsidRPr="00EF2F73">
        <w:rPr>
          <w:rFonts w:cstheme="minorHAnsi"/>
          <w:color w:val="000000" w:themeColor="text1"/>
          <w:sz w:val="24"/>
          <w:szCs w:val="24"/>
        </w:rPr>
        <w:t xml:space="preserve"> 105 per share. What will be the company’s revised weighted average cost of capital?</w:t>
      </w:r>
    </w:p>
    <w:p w:rsidR="00CF37F0" w:rsidRPr="00DA4F06" w:rsidRDefault="00CF37F0" w:rsidP="00EF2F73">
      <w:pPr>
        <w:rPr>
          <w:rFonts w:cstheme="minorHAnsi"/>
          <w:b/>
          <w:color w:val="000000" w:themeColor="text1"/>
          <w:sz w:val="24"/>
          <w:szCs w:val="24"/>
        </w:rPr>
      </w:pP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DA4F06">
        <w:rPr>
          <w:rFonts w:cstheme="minorHAnsi"/>
          <w:b/>
          <w:color w:val="000000" w:themeColor="text1"/>
          <w:sz w:val="24"/>
          <w:szCs w:val="24"/>
        </w:rPr>
        <w:t>(6+6</w:t>
      </w:r>
      <w:r w:rsidR="00EF2F73" w:rsidRPr="00DA4F06">
        <w:rPr>
          <w:rFonts w:cstheme="minorHAnsi"/>
          <w:b/>
          <w:color w:val="000000" w:themeColor="text1"/>
          <w:sz w:val="24"/>
          <w:szCs w:val="24"/>
        </w:rPr>
        <w:t xml:space="preserve"> marks</w:t>
      </w:r>
      <w:r w:rsidRPr="00DA4F06">
        <w:rPr>
          <w:rFonts w:cstheme="minorHAnsi"/>
          <w:b/>
          <w:color w:val="000000" w:themeColor="text1"/>
          <w:sz w:val="24"/>
          <w:szCs w:val="24"/>
        </w:rPr>
        <w:t>)</w:t>
      </w:r>
    </w:p>
    <w:p w:rsidR="00EF2F73" w:rsidRPr="00EF2F73" w:rsidRDefault="00EF2F73" w:rsidP="00EF2F73">
      <w:pPr>
        <w:spacing w:after="160"/>
        <w:rPr>
          <w:rFonts w:cstheme="minorHAnsi"/>
          <w:color w:val="000000" w:themeColor="text1"/>
          <w:sz w:val="24"/>
          <w:szCs w:val="24"/>
        </w:rPr>
      </w:pPr>
    </w:p>
    <w:p w:rsidR="00EF2F73" w:rsidRPr="00EF2F73" w:rsidRDefault="00CF37F0" w:rsidP="00EF2F73">
      <w:pPr>
        <w:spacing w:after="160"/>
        <w:rPr>
          <w:rFonts w:cstheme="minorHAnsi"/>
          <w:sz w:val="24"/>
          <w:szCs w:val="24"/>
          <w:lang w:val="en-IN"/>
        </w:rPr>
      </w:pPr>
      <w:r w:rsidRPr="00213068">
        <w:rPr>
          <w:rFonts w:cstheme="minorHAnsi"/>
          <w:b/>
          <w:color w:val="000000" w:themeColor="text1"/>
          <w:sz w:val="24"/>
          <w:szCs w:val="24"/>
        </w:rPr>
        <w:t>Q3</w:t>
      </w:r>
      <w:r w:rsidR="00213068">
        <w:rPr>
          <w:rFonts w:cstheme="minorHAnsi"/>
          <w:b/>
          <w:color w:val="000000" w:themeColor="text1"/>
          <w:sz w:val="24"/>
          <w:szCs w:val="24"/>
        </w:rPr>
        <w:t>.</w:t>
      </w:r>
      <w:r w:rsidR="00EF2F73" w:rsidRPr="00EF2F73">
        <w:rPr>
          <w:rFonts w:cstheme="minorHAnsi"/>
          <w:sz w:val="24"/>
          <w:szCs w:val="24"/>
          <w:lang w:val="en-IN"/>
        </w:rPr>
        <w:t xml:space="preserve"> Following is the financial statement data of Saksham Ltd. for the year 2021</w:t>
      </w:r>
    </w:p>
    <w:tbl>
      <w:tblPr>
        <w:tblStyle w:val="TableGrid1"/>
        <w:tblW w:w="0" w:type="auto"/>
        <w:jc w:val="center"/>
        <w:tblInd w:w="0" w:type="dxa"/>
        <w:tblLook w:val="04A0" w:firstRow="1" w:lastRow="0" w:firstColumn="1" w:lastColumn="0" w:noHBand="0" w:noVBand="1"/>
      </w:tblPr>
      <w:tblGrid>
        <w:gridCol w:w="1803"/>
        <w:gridCol w:w="1803"/>
        <w:gridCol w:w="2485"/>
        <w:gridCol w:w="1121"/>
      </w:tblGrid>
      <w:tr w:rsidR="00EF2F73" w:rsidRPr="00EF2F73" w:rsidTr="005B2DEE">
        <w:trPr>
          <w:jc w:val="center"/>
        </w:trPr>
        <w:tc>
          <w:tcPr>
            <w:tcW w:w="3606" w:type="dxa"/>
            <w:gridSpan w:val="2"/>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b/>
                <w:color w:val="000000"/>
                <w:sz w:val="24"/>
                <w:szCs w:val="24"/>
              </w:rPr>
            </w:pPr>
            <w:r w:rsidRPr="00EF2F73">
              <w:rPr>
                <w:rFonts w:asciiTheme="minorHAnsi" w:eastAsia="Calibri" w:hAnsiTheme="minorHAnsi" w:cstheme="minorHAnsi"/>
                <w:b/>
                <w:color w:val="000000"/>
                <w:sz w:val="24"/>
                <w:szCs w:val="24"/>
              </w:rPr>
              <w:t>Profit and Loss Account Data for the year ending 2021 (in ₹ lakhs)</w:t>
            </w:r>
          </w:p>
        </w:tc>
        <w:tc>
          <w:tcPr>
            <w:tcW w:w="3606" w:type="dxa"/>
            <w:gridSpan w:val="2"/>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jc w:val="center"/>
              <w:rPr>
                <w:rFonts w:asciiTheme="minorHAnsi" w:hAnsiTheme="minorHAnsi" w:cstheme="minorHAnsi"/>
                <w:b/>
                <w:color w:val="000000"/>
                <w:sz w:val="24"/>
                <w:szCs w:val="24"/>
              </w:rPr>
            </w:pPr>
            <w:r w:rsidRPr="00EF2F73">
              <w:rPr>
                <w:rFonts w:asciiTheme="minorHAnsi" w:hAnsiTheme="minorHAnsi" w:cstheme="minorHAnsi"/>
                <w:b/>
                <w:color w:val="000000"/>
                <w:sz w:val="24"/>
                <w:szCs w:val="24"/>
              </w:rPr>
              <w:t>Balance Sheet Data as on 31</w:t>
            </w:r>
            <w:r w:rsidRPr="00EF2F73">
              <w:rPr>
                <w:rFonts w:asciiTheme="minorHAnsi" w:hAnsiTheme="minorHAnsi" w:cstheme="minorHAnsi"/>
                <w:b/>
                <w:color w:val="000000"/>
                <w:sz w:val="24"/>
                <w:szCs w:val="24"/>
                <w:vertAlign w:val="superscript"/>
              </w:rPr>
              <w:t xml:space="preserve">st </w:t>
            </w:r>
            <w:r w:rsidRPr="00EF2F73">
              <w:rPr>
                <w:rFonts w:asciiTheme="minorHAnsi" w:hAnsiTheme="minorHAnsi" w:cstheme="minorHAnsi"/>
                <w:b/>
                <w:color w:val="000000"/>
                <w:sz w:val="24"/>
                <w:szCs w:val="24"/>
              </w:rPr>
              <w:t>March, 2021 (in ₹ lakhs)</w:t>
            </w:r>
          </w:p>
        </w:tc>
      </w:tr>
      <w:tr w:rsidR="00EF2F73" w:rsidRPr="00EF2F73" w:rsidTr="005B2DEE">
        <w:trPr>
          <w:jc w:val="center"/>
        </w:trPr>
        <w:tc>
          <w:tcPr>
            <w:tcW w:w="1803"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Sales</w:t>
            </w:r>
          </w:p>
        </w:tc>
        <w:tc>
          <w:tcPr>
            <w:tcW w:w="1803"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530</w:t>
            </w:r>
          </w:p>
        </w:tc>
        <w:tc>
          <w:tcPr>
            <w:tcW w:w="2485"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Inventories</w:t>
            </w:r>
          </w:p>
        </w:tc>
        <w:tc>
          <w:tcPr>
            <w:tcW w:w="1121"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100</w:t>
            </w:r>
          </w:p>
        </w:tc>
      </w:tr>
      <w:tr w:rsidR="00EF2F73" w:rsidRPr="00EF2F73" w:rsidTr="005B2DEE">
        <w:trPr>
          <w:jc w:val="center"/>
        </w:trPr>
        <w:tc>
          <w:tcPr>
            <w:tcW w:w="1803"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COGS</w:t>
            </w:r>
          </w:p>
        </w:tc>
        <w:tc>
          <w:tcPr>
            <w:tcW w:w="1803"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260</w:t>
            </w:r>
          </w:p>
        </w:tc>
        <w:tc>
          <w:tcPr>
            <w:tcW w:w="2485"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Bills Receivables</w:t>
            </w:r>
          </w:p>
        </w:tc>
        <w:tc>
          <w:tcPr>
            <w:tcW w:w="1121"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80</w:t>
            </w:r>
          </w:p>
        </w:tc>
      </w:tr>
      <w:tr w:rsidR="00EF2F73" w:rsidRPr="00EF2F73" w:rsidTr="005B2DEE">
        <w:trPr>
          <w:jc w:val="center"/>
        </w:trPr>
        <w:tc>
          <w:tcPr>
            <w:tcW w:w="1803" w:type="dxa"/>
            <w:tcBorders>
              <w:top w:val="single" w:sz="4" w:space="0" w:color="auto"/>
              <w:left w:val="single" w:sz="4" w:space="0" w:color="auto"/>
              <w:bottom w:val="single" w:sz="4" w:space="0" w:color="auto"/>
              <w:right w:val="single" w:sz="4" w:space="0" w:color="auto"/>
            </w:tcBorders>
          </w:tcPr>
          <w:p w:rsidR="00EF2F73" w:rsidRPr="00EF2F73" w:rsidRDefault="00EF2F73" w:rsidP="00EF2F73">
            <w:pPr>
              <w:rPr>
                <w:rFonts w:asciiTheme="minorHAnsi" w:hAnsiTheme="minorHAnsi" w:cstheme="minorHAnsi"/>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tcPr>
          <w:p w:rsidR="00EF2F73" w:rsidRPr="00EF2F73" w:rsidRDefault="00EF2F73" w:rsidP="00EF2F73">
            <w:pPr>
              <w:rPr>
                <w:rFonts w:asciiTheme="minorHAnsi" w:hAnsiTheme="minorHAnsi" w:cstheme="minorHAnsi"/>
                <w:color w:val="000000"/>
                <w:sz w:val="24"/>
                <w:szCs w:val="24"/>
              </w:rPr>
            </w:pPr>
          </w:p>
        </w:tc>
        <w:tc>
          <w:tcPr>
            <w:tcW w:w="2485"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Bills payables</w:t>
            </w:r>
          </w:p>
        </w:tc>
        <w:tc>
          <w:tcPr>
            <w:tcW w:w="1121" w:type="dxa"/>
            <w:tcBorders>
              <w:top w:val="single" w:sz="4" w:space="0" w:color="auto"/>
              <w:left w:val="single" w:sz="4" w:space="0" w:color="auto"/>
              <w:bottom w:val="single" w:sz="4" w:space="0" w:color="auto"/>
              <w:right w:val="single" w:sz="4" w:space="0" w:color="auto"/>
            </w:tcBorders>
            <w:hideMark/>
          </w:tcPr>
          <w:p w:rsidR="00EF2F73" w:rsidRPr="00EF2F73" w:rsidRDefault="00EF2F73" w:rsidP="00EF2F73">
            <w:pPr>
              <w:rPr>
                <w:rFonts w:asciiTheme="minorHAnsi" w:hAnsiTheme="minorHAnsi" w:cstheme="minorHAnsi"/>
                <w:color w:val="000000"/>
                <w:sz w:val="24"/>
                <w:szCs w:val="24"/>
              </w:rPr>
            </w:pPr>
            <w:r w:rsidRPr="00EF2F73">
              <w:rPr>
                <w:rFonts w:asciiTheme="minorHAnsi" w:hAnsiTheme="minorHAnsi" w:cstheme="minorHAnsi"/>
                <w:color w:val="000000"/>
                <w:sz w:val="24"/>
                <w:szCs w:val="24"/>
              </w:rPr>
              <w:t>60</w:t>
            </w:r>
          </w:p>
        </w:tc>
      </w:tr>
    </w:tbl>
    <w:p w:rsidR="00EF2F73" w:rsidRPr="00EF2F73" w:rsidRDefault="00EF2F73" w:rsidP="00EF2F73">
      <w:pPr>
        <w:ind w:left="720"/>
        <w:rPr>
          <w:rFonts w:cstheme="minorHAnsi"/>
          <w:sz w:val="24"/>
          <w:szCs w:val="24"/>
          <w:lang w:val="en-IN"/>
        </w:rPr>
      </w:pPr>
    </w:p>
    <w:p w:rsidR="00EF2F73" w:rsidRPr="00EF2F73" w:rsidRDefault="00EF2F73" w:rsidP="00EF2F73">
      <w:pPr>
        <w:ind w:left="720"/>
        <w:rPr>
          <w:rFonts w:cstheme="minorHAnsi"/>
          <w:sz w:val="24"/>
          <w:szCs w:val="24"/>
          <w:lang w:val="en-IN"/>
        </w:rPr>
      </w:pPr>
      <w:r w:rsidRPr="00EF2F73">
        <w:rPr>
          <w:rFonts w:cstheme="minorHAnsi"/>
          <w:sz w:val="24"/>
          <w:szCs w:val="24"/>
          <w:lang w:val="en-IN"/>
        </w:rPr>
        <w:t>Examine the above data to find out the operating cycle and cash conversion cycle of Saksham Ltd. for the year 2021.</w:t>
      </w:r>
    </w:p>
    <w:p w:rsidR="00CF37F0" w:rsidRPr="00DA4F06" w:rsidRDefault="00CF37F0" w:rsidP="00EF2F73">
      <w:pPr>
        <w:rPr>
          <w:rFonts w:cstheme="minorHAnsi"/>
          <w:b/>
          <w:color w:val="000000" w:themeColor="text1"/>
          <w:sz w:val="24"/>
          <w:szCs w:val="24"/>
        </w:rPr>
      </w:pP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r w:rsidR="00EF2F73">
        <w:rPr>
          <w:rFonts w:cstheme="minorHAnsi"/>
          <w:color w:val="000000" w:themeColor="text1"/>
          <w:sz w:val="24"/>
          <w:szCs w:val="24"/>
        </w:rPr>
        <w:tab/>
      </w:r>
      <w:r w:rsidR="00EF2F73">
        <w:rPr>
          <w:rFonts w:cstheme="minorHAnsi"/>
          <w:color w:val="000000" w:themeColor="text1"/>
          <w:sz w:val="24"/>
          <w:szCs w:val="24"/>
        </w:rPr>
        <w:tab/>
      </w:r>
      <w:r w:rsidRPr="00DA4F06">
        <w:rPr>
          <w:rFonts w:cstheme="minorHAnsi"/>
          <w:b/>
          <w:color w:val="000000" w:themeColor="text1"/>
          <w:sz w:val="24"/>
          <w:szCs w:val="24"/>
        </w:rPr>
        <w:t>(6</w:t>
      </w:r>
      <w:r w:rsidR="00EF2F73" w:rsidRPr="00DA4F06">
        <w:rPr>
          <w:rFonts w:cstheme="minorHAnsi"/>
          <w:b/>
          <w:color w:val="000000" w:themeColor="text1"/>
          <w:sz w:val="24"/>
          <w:szCs w:val="24"/>
        </w:rPr>
        <w:t xml:space="preserve"> marks</w:t>
      </w:r>
      <w:r w:rsidRPr="00DA4F06">
        <w:rPr>
          <w:rFonts w:cstheme="minorHAnsi"/>
          <w:b/>
          <w:color w:val="000000" w:themeColor="text1"/>
          <w:sz w:val="24"/>
          <w:szCs w:val="24"/>
        </w:rPr>
        <w:t>)</w:t>
      </w:r>
    </w:p>
    <w:p w:rsidR="00CF37F0" w:rsidRPr="00EF2F73" w:rsidRDefault="00CF37F0" w:rsidP="00EF2F73">
      <w:pPr>
        <w:jc w:val="both"/>
        <w:rPr>
          <w:rFonts w:cstheme="minorHAnsi"/>
          <w:color w:val="000000" w:themeColor="text1"/>
          <w:sz w:val="24"/>
          <w:szCs w:val="24"/>
        </w:rPr>
      </w:pPr>
      <w:r w:rsidRPr="00213068">
        <w:rPr>
          <w:rFonts w:cstheme="minorHAnsi"/>
          <w:b/>
          <w:color w:val="000000" w:themeColor="text1"/>
          <w:sz w:val="24"/>
          <w:szCs w:val="24"/>
        </w:rPr>
        <w:t>Q4</w:t>
      </w:r>
      <w:r w:rsidR="00213068">
        <w:rPr>
          <w:rFonts w:cstheme="minorHAnsi"/>
          <w:b/>
          <w:color w:val="000000" w:themeColor="text1"/>
          <w:sz w:val="24"/>
          <w:szCs w:val="24"/>
        </w:rPr>
        <w:t>.</w:t>
      </w:r>
      <w:r w:rsidRPr="00EF2F73">
        <w:rPr>
          <w:rFonts w:cstheme="minorHAnsi"/>
          <w:color w:val="000000" w:themeColor="text1"/>
          <w:sz w:val="24"/>
          <w:szCs w:val="24"/>
        </w:rPr>
        <w:t xml:space="preserve"> The Balance sheet for Levy Corp. is shown below in market value terms. There are 14,000 shares of stock outstanding.</w:t>
      </w:r>
    </w:p>
    <w:tbl>
      <w:tblPr>
        <w:tblStyle w:val="TableGrid"/>
        <w:tblW w:w="0" w:type="auto"/>
        <w:tblLook w:val="04A0" w:firstRow="1" w:lastRow="0" w:firstColumn="1" w:lastColumn="0" w:noHBand="0" w:noVBand="1"/>
      </w:tblPr>
      <w:tblGrid>
        <w:gridCol w:w="2254"/>
        <w:gridCol w:w="2254"/>
        <w:gridCol w:w="2254"/>
        <w:gridCol w:w="2254"/>
      </w:tblGrid>
      <w:tr w:rsidR="00CF37F0" w:rsidRPr="00EF2F73" w:rsidTr="00001571">
        <w:tc>
          <w:tcPr>
            <w:tcW w:w="9016" w:type="dxa"/>
            <w:gridSpan w:val="4"/>
          </w:tcPr>
          <w:p w:rsidR="00CF37F0" w:rsidRPr="00EF2F73" w:rsidRDefault="00CF37F0" w:rsidP="00EF2F73">
            <w:pPr>
              <w:jc w:val="center"/>
              <w:rPr>
                <w:rFonts w:cstheme="minorHAnsi"/>
                <w:b/>
                <w:color w:val="000000" w:themeColor="text1"/>
                <w:sz w:val="24"/>
                <w:szCs w:val="24"/>
              </w:rPr>
            </w:pPr>
            <w:r w:rsidRPr="00EF2F73">
              <w:rPr>
                <w:rFonts w:cstheme="minorHAnsi"/>
                <w:b/>
                <w:color w:val="000000" w:themeColor="text1"/>
                <w:sz w:val="24"/>
                <w:szCs w:val="24"/>
              </w:rPr>
              <w:t>Market Value Balance Sheet</w:t>
            </w:r>
          </w:p>
        </w:tc>
      </w:tr>
      <w:tr w:rsidR="00CF37F0" w:rsidRPr="00EF2F73" w:rsidTr="00001571">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Cash</w:t>
            </w:r>
          </w:p>
        </w:tc>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$62,000</w:t>
            </w:r>
          </w:p>
        </w:tc>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Equity</w:t>
            </w:r>
          </w:p>
        </w:tc>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$5,07,000</w:t>
            </w:r>
          </w:p>
        </w:tc>
      </w:tr>
      <w:tr w:rsidR="00CF37F0" w:rsidRPr="00EF2F73" w:rsidTr="00001571">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Fixed Assets</w:t>
            </w:r>
          </w:p>
        </w:tc>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4,45,000</w:t>
            </w:r>
          </w:p>
        </w:tc>
        <w:tc>
          <w:tcPr>
            <w:tcW w:w="2254" w:type="dxa"/>
          </w:tcPr>
          <w:p w:rsidR="00CF37F0" w:rsidRPr="00EF2F73" w:rsidRDefault="00CF37F0" w:rsidP="00EF2F73">
            <w:pPr>
              <w:jc w:val="both"/>
              <w:rPr>
                <w:rFonts w:cstheme="minorHAnsi"/>
                <w:color w:val="000000" w:themeColor="text1"/>
                <w:sz w:val="24"/>
                <w:szCs w:val="24"/>
              </w:rPr>
            </w:pPr>
          </w:p>
        </w:tc>
        <w:tc>
          <w:tcPr>
            <w:tcW w:w="2254" w:type="dxa"/>
          </w:tcPr>
          <w:p w:rsidR="00CF37F0" w:rsidRPr="00EF2F73" w:rsidRDefault="00CF37F0" w:rsidP="00EF2F73">
            <w:pPr>
              <w:jc w:val="both"/>
              <w:rPr>
                <w:rFonts w:cstheme="minorHAnsi"/>
                <w:color w:val="000000" w:themeColor="text1"/>
                <w:sz w:val="24"/>
                <w:szCs w:val="24"/>
              </w:rPr>
            </w:pPr>
          </w:p>
        </w:tc>
      </w:tr>
      <w:tr w:rsidR="00CF37F0" w:rsidRPr="00EF2F73" w:rsidTr="00001571">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Total</w:t>
            </w:r>
          </w:p>
        </w:tc>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$5,07,000</w:t>
            </w:r>
          </w:p>
        </w:tc>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Total</w:t>
            </w:r>
          </w:p>
        </w:tc>
        <w:tc>
          <w:tcPr>
            <w:tcW w:w="2254" w:type="dxa"/>
          </w:tcPr>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$5,07,000</w:t>
            </w:r>
          </w:p>
        </w:tc>
      </w:tr>
    </w:tbl>
    <w:p w:rsidR="00CF37F0" w:rsidRP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 xml:space="preserve"> </w:t>
      </w:r>
    </w:p>
    <w:p w:rsidR="00EF2F73" w:rsidRDefault="00CF37F0" w:rsidP="00EF2F73">
      <w:pPr>
        <w:jc w:val="both"/>
        <w:rPr>
          <w:rFonts w:cstheme="minorHAnsi"/>
          <w:color w:val="000000" w:themeColor="text1"/>
          <w:sz w:val="24"/>
          <w:szCs w:val="24"/>
        </w:rPr>
      </w:pPr>
      <w:r w:rsidRPr="00EF2F73">
        <w:rPr>
          <w:rFonts w:cstheme="minorHAnsi"/>
          <w:color w:val="000000" w:themeColor="text1"/>
          <w:sz w:val="24"/>
          <w:szCs w:val="24"/>
        </w:rPr>
        <w:t xml:space="preserve">The company has declared a dividend of $1.60 per share. The stock goes ex-dividend tomorrow, ignoring any tax effects, what is the stock selling for today? What will it sell for tomorrow? What will the Balance Sheet look like after the dividends are paid? </w:t>
      </w:r>
      <w:r w:rsidRPr="00EF2F73">
        <w:rPr>
          <w:rFonts w:cstheme="minorHAnsi"/>
          <w:color w:val="000000" w:themeColor="text1"/>
          <w:sz w:val="24"/>
          <w:szCs w:val="24"/>
        </w:rPr>
        <w:tab/>
      </w:r>
      <w:r w:rsidRPr="00EF2F73">
        <w:rPr>
          <w:rFonts w:cstheme="minorHAnsi"/>
          <w:color w:val="000000" w:themeColor="text1"/>
          <w:sz w:val="24"/>
          <w:szCs w:val="24"/>
        </w:rPr>
        <w:tab/>
      </w:r>
      <w:r w:rsidRPr="00EF2F73">
        <w:rPr>
          <w:rFonts w:cstheme="minorHAnsi"/>
          <w:color w:val="000000" w:themeColor="text1"/>
          <w:sz w:val="24"/>
          <w:szCs w:val="24"/>
        </w:rPr>
        <w:tab/>
      </w:r>
    </w:p>
    <w:p w:rsidR="00CF37F0" w:rsidRPr="00DA4F06" w:rsidRDefault="00CF37F0" w:rsidP="00EF2F73">
      <w:pPr>
        <w:ind w:left="7920"/>
        <w:jc w:val="both"/>
        <w:rPr>
          <w:rFonts w:cstheme="minorHAnsi"/>
          <w:b/>
          <w:color w:val="000000" w:themeColor="text1"/>
          <w:sz w:val="24"/>
          <w:szCs w:val="24"/>
        </w:rPr>
      </w:pPr>
      <w:r w:rsidRPr="00DA4F06">
        <w:rPr>
          <w:rFonts w:cstheme="minorHAnsi"/>
          <w:b/>
          <w:color w:val="000000" w:themeColor="text1"/>
          <w:sz w:val="24"/>
          <w:szCs w:val="24"/>
        </w:rPr>
        <w:t>(</w:t>
      </w:r>
      <w:r w:rsidR="00EF2F73" w:rsidRPr="00DA4F06">
        <w:rPr>
          <w:rFonts w:cstheme="minorHAnsi"/>
          <w:b/>
          <w:color w:val="000000" w:themeColor="text1"/>
          <w:sz w:val="24"/>
          <w:szCs w:val="24"/>
        </w:rPr>
        <w:t xml:space="preserve">8 </w:t>
      </w:r>
      <w:r w:rsidR="00E622F2" w:rsidRPr="00DA4F06">
        <w:rPr>
          <w:rFonts w:cstheme="minorHAnsi"/>
          <w:b/>
          <w:color w:val="000000" w:themeColor="text1"/>
          <w:sz w:val="24"/>
          <w:szCs w:val="24"/>
        </w:rPr>
        <w:t>marks)</w:t>
      </w:r>
    </w:p>
    <w:p w:rsidR="00CF37F0" w:rsidRPr="00EF2F73" w:rsidRDefault="00CF37F0" w:rsidP="00EF2F73">
      <w:pPr>
        <w:rPr>
          <w:rFonts w:cstheme="minorHAnsi"/>
          <w:color w:val="000000" w:themeColor="text1"/>
          <w:sz w:val="24"/>
          <w:szCs w:val="24"/>
        </w:rPr>
      </w:pPr>
    </w:p>
    <w:p w:rsidR="00CF37F0" w:rsidRPr="00EF2F73" w:rsidRDefault="00CF37F0" w:rsidP="00EF2F73">
      <w:pPr>
        <w:rPr>
          <w:rFonts w:cstheme="minorHAnsi"/>
          <w:color w:val="000000" w:themeColor="text1"/>
          <w:sz w:val="24"/>
          <w:szCs w:val="24"/>
        </w:rPr>
      </w:pPr>
    </w:p>
    <w:p w:rsidR="00CF37F0" w:rsidRPr="00EF2F73" w:rsidRDefault="00CF37F0" w:rsidP="00EF2F73">
      <w:pPr>
        <w:spacing w:after="0"/>
        <w:ind w:left="360"/>
        <w:jc w:val="both"/>
        <w:rPr>
          <w:rFonts w:cstheme="minorHAnsi"/>
          <w:bCs/>
          <w:i/>
          <w:sz w:val="24"/>
          <w:szCs w:val="24"/>
        </w:rPr>
      </w:pPr>
    </w:p>
    <w:p w:rsidR="00757DE6" w:rsidRPr="00EF2F73" w:rsidRDefault="00757DE6" w:rsidP="00EF2F73">
      <w:pPr>
        <w:spacing w:after="0"/>
        <w:jc w:val="both"/>
        <w:rPr>
          <w:rFonts w:eastAsia="Times New Roman" w:cstheme="minorHAnsi"/>
          <w:b/>
          <w:sz w:val="24"/>
          <w:szCs w:val="24"/>
        </w:rPr>
      </w:pPr>
      <w:r w:rsidRPr="00EF2F73">
        <w:rPr>
          <w:rFonts w:eastAsia="Times New Roman" w:cstheme="minorHAnsi"/>
          <w:b/>
          <w:sz w:val="24"/>
          <w:szCs w:val="24"/>
        </w:rPr>
        <w:t>-----------------------------------------------</w:t>
      </w:r>
      <w:r w:rsidR="00FF0D34" w:rsidRPr="00EF2F73">
        <w:rPr>
          <w:rFonts w:eastAsia="Times New Roman" w:cstheme="minorHAnsi"/>
          <w:b/>
          <w:sz w:val="24"/>
          <w:szCs w:val="24"/>
        </w:rPr>
        <w:t>End</w:t>
      </w:r>
      <w:r w:rsidRPr="00EF2F73">
        <w:rPr>
          <w:rFonts w:eastAsia="Times New Roman" w:cstheme="minorHAnsi"/>
          <w:b/>
          <w:sz w:val="24"/>
          <w:szCs w:val="24"/>
        </w:rPr>
        <w:t xml:space="preserve"> of the question paper---------------------------------------------</w:t>
      </w:r>
    </w:p>
    <w:sectPr w:rsidR="00757DE6" w:rsidRPr="00EF2F73"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7D" w:rsidRDefault="00B3797D" w:rsidP="00565F93">
      <w:pPr>
        <w:spacing w:after="0" w:line="240" w:lineRule="auto"/>
      </w:pPr>
      <w:r>
        <w:separator/>
      </w:r>
    </w:p>
  </w:endnote>
  <w:endnote w:type="continuationSeparator" w:id="0">
    <w:p w:rsidR="00B3797D" w:rsidRDefault="00B3797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7B586A">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7B586A">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7D" w:rsidRDefault="00B3797D" w:rsidP="00565F93">
      <w:pPr>
        <w:spacing w:after="0" w:line="240" w:lineRule="auto"/>
      </w:pPr>
      <w:r>
        <w:separator/>
      </w:r>
    </w:p>
  </w:footnote>
  <w:footnote w:type="continuationSeparator" w:id="0">
    <w:p w:rsidR="00B3797D" w:rsidRDefault="00B3797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69BF"/>
    <w:multiLevelType w:val="hybridMultilevel"/>
    <w:tmpl w:val="0CDCB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8F2D86"/>
    <w:multiLevelType w:val="hybridMultilevel"/>
    <w:tmpl w:val="0C963060"/>
    <w:lvl w:ilvl="0" w:tplc="E9E6992E">
      <w:start w:val="2"/>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498C3ADB"/>
    <w:multiLevelType w:val="hybridMultilevel"/>
    <w:tmpl w:val="4454DC1E"/>
    <w:lvl w:ilvl="0" w:tplc="6666F5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A1C6C"/>
    <w:multiLevelType w:val="hybridMultilevel"/>
    <w:tmpl w:val="D1182F58"/>
    <w:lvl w:ilvl="0" w:tplc="A8B235E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5EDB42A6"/>
    <w:multiLevelType w:val="hybridMultilevel"/>
    <w:tmpl w:val="71AE78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E27568"/>
    <w:multiLevelType w:val="hybridMultilevel"/>
    <w:tmpl w:val="FFDE9B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6"/>
  </w:num>
  <w:num w:numId="8">
    <w:abstractNumId w:val="7"/>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147366"/>
    <w:rsid w:val="001607CB"/>
    <w:rsid w:val="001E2EBC"/>
    <w:rsid w:val="00213068"/>
    <w:rsid w:val="00234A87"/>
    <w:rsid w:val="002646F0"/>
    <w:rsid w:val="00293778"/>
    <w:rsid w:val="002969DB"/>
    <w:rsid w:val="0035360D"/>
    <w:rsid w:val="00394D92"/>
    <w:rsid w:val="003D5570"/>
    <w:rsid w:val="00401CF5"/>
    <w:rsid w:val="004058EE"/>
    <w:rsid w:val="00470A63"/>
    <w:rsid w:val="004817D9"/>
    <w:rsid w:val="004F4CBC"/>
    <w:rsid w:val="00524401"/>
    <w:rsid w:val="005544AB"/>
    <w:rsid w:val="00565F93"/>
    <w:rsid w:val="00683F6D"/>
    <w:rsid w:val="006D7C8B"/>
    <w:rsid w:val="0070146B"/>
    <w:rsid w:val="00757DE6"/>
    <w:rsid w:val="007B1CA4"/>
    <w:rsid w:val="007B586A"/>
    <w:rsid w:val="0084505C"/>
    <w:rsid w:val="009012A2"/>
    <w:rsid w:val="00903A58"/>
    <w:rsid w:val="0091524B"/>
    <w:rsid w:val="00921E9B"/>
    <w:rsid w:val="009231A7"/>
    <w:rsid w:val="00923DCD"/>
    <w:rsid w:val="00956BDE"/>
    <w:rsid w:val="00956E30"/>
    <w:rsid w:val="009E38F9"/>
    <w:rsid w:val="00A964EE"/>
    <w:rsid w:val="00AA0EE8"/>
    <w:rsid w:val="00AF7654"/>
    <w:rsid w:val="00B3797D"/>
    <w:rsid w:val="00B44A19"/>
    <w:rsid w:val="00B54346"/>
    <w:rsid w:val="00B71AD9"/>
    <w:rsid w:val="00BB291F"/>
    <w:rsid w:val="00BF4AF6"/>
    <w:rsid w:val="00C52051"/>
    <w:rsid w:val="00CF37F0"/>
    <w:rsid w:val="00DA4F06"/>
    <w:rsid w:val="00DD234B"/>
    <w:rsid w:val="00E0384F"/>
    <w:rsid w:val="00E16D71"/>
    <w:rsid w:val="00E61C02"/>
    <w:rsid w:val="00E622F2"/>
    <w:rsid w:val="00E81D1D"/>
    <w:rsid w:val="00ED4A8E"/>
    <w:rsid w:val="00EF2F73"/>
    <w:rsid w:val="00FF0D34"/>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09E42"/>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table" w:customStyle="1" w:styleId="TableGrid1">
    <w:name w:val="Table Grid1"/>
    <w:basedOn w:val="TableNormal"/>
    <w:next w:val="TableGrid"/>
    <w:uiPriority w:val="39"/>
    <w:rsid w:val="00EF2F73"/>
    <w:pPr>
      <w:spacing w:after="0" w:line="240" w:lineRule="auto"/>
    </w:pPr>
    <w:rPr>
      <w:rFonts w:ascii="Calibri" w:eastAsia="Calibri" w:hAnsi="Calibri" w:cs="Times New Roman"/>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5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86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31359783">
      <w:bodyDiv w:val="1"/>
      <w:marLeft w:val="0"/>
      <w:marRight w:val="0"/>
      <w:marTop w:val="0"/>
      <w:marBottom w:val="0"/>
      <w:divBdr>
        <w:top w:val="none" w:sz="0" w:space="0" w:color="auto"/>
        <w:left w:val="none" w:sz="0" w:space="0" w:color="auto"/>
        <w:bottom w:val="none" w:sz="0" w:space="0" w:color="auto"/>
        <w:right w:val="none" w:sz="0" w:space="0" w:color="auto"/>
      </w:divBdr>
      <w:divsChild>
        <w:div w:id="1606233791">
          <w:marLeft w:val="0"/>
          <w:marRight w:val="0"/>
          <w:marTop w:val="0"/>
          <w:marBottom w:val="0"/>
          <w:divBdr>
            <w:top w:val="none" w:sz="0" w:space="0" w:color="auto"/>
            <w:left w:val="none" w:sz="0" w:space="0" w:color="auto"/>
            <w:bottom w:val="none" w:sz="0" w:space="0" w:color="auto"/>
            <w:right w:val="none" w:sz="0" w:space="0" w:color="auto"/>
          </w:divBdr>
        </w:div>
        <w:div w:id="1956674812">
          <w:marLeft w:val="0"/>
          <w:marRight w:val="0"/>
          <w:marTop w:val="0"/>
          <w:marBottom w:val="0"/>
          <w:divBdr>
            <w:top w:val="none" w:sz="0" w:space="0" w:color="auto"/>
            <w:left w:val="none" w:sz="0" w:space="0" w:color="auto"/>
            <w:bottom w:val="none" w:sz="0" w:space="0" w:color="auto"/>
            <w:right w:val="none" w:sz="0" w:space="0" w:color="auto"/>
          </w:divBdr>
        </w:div>
        <w:div w:id="1978292785">
          <w:marLeft w:val="0"/>
          <w:marRight w:val="0"/>
          <w:marTop w:val="0"/>
          <w:marBottom w:val="0"/>
          <w:divBdr>
            <w:top w:val="none" w:sz="0" w:space="0" w:color="auto"/>
            <w:left w:val="none" w:sz="0" w:space="0" w:color="auto"/>
            <w:bottom w:val="none" w:sz="0" w:space="0" w:color="auto"/>
            <w:right w:val="none" w:sz="0" w:space="0" w:color="auto"/>
          </w:divBdr>
        </w:div>
        <w:div w:id="537279317">
          <w:marLeft w:val="0"/>
          <w:marRight w:val="0"/>
          <w:marTop w:val="0"/>
          <w:marBottom w:val="0"/>
          <w:divBdr>
            <w:top w:val="none" w:sz="0" w:space="0" w:color="auto"/>
            <w:left w:val="none" w:sz="0" w:space="0" w:color="auto"/>
            <w:bottom w:val="none" w:sz="0" w:space="0" w:color="auto"/>
            <w:right w:val="none" w:sz="0" w:space="0" w:color="auto"/>
          </w:divBdr>
        </w:div>
        <w:div w:id="1362899677">
          <w:marLeft w:val="0"/>
          <w:marRight w:val="0"/>
          <w:marTop w:val="0"/>
          <w:marBottom w:val="0"/>
          <w:divBdr>
            <w:top w:val="none" w:sz="0" w:space="0" w:color="auto"/>
            <w:left w:val="none" w:sz="0" w:space="0" w:color="auto"/>
            <w:bottom w:val="none" w:sz="0" w:space="0" w:color="auto"/>
            <w:right w:val="none" w:sz="0" w:space="0" w:color="auto"/>
          </w:divBdr>
        </w:div>
        <w:div w:id="1449003546">
          <w:marLeft w:val="0"/>
          <w:marRight w:val="0"/>
          <w:marTop w:val="0"/>
          <w:marBottom w:val="0"/>
          <w:divBdr>
            <w:top w:val="none" w:sz="0" w:space="0" w:color="auto"/>
            <w:left w:val="none" w:sz="0" w:space="0" w:color="auto"/>
            <w:bottom w:val="none" w:sz="0" w:space="0" w:color="auto"/>
            <w:right w:val="none" w:sz="0" w:space="0" w:color="auto"/>
          </w:divBdr>
        </w:div>
        <w:div w:id="39015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CE47-760B-4904-83F1-BF070593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10</cp:revision>
  <cp:lastPrinted>2023-03-03T04:19:00Z</cp:lastPrinted>
  <dcterms:created xsi:type="dcterms:W3CDTF">2023-01-09T06:53:00Z</dcterms:created>
  <dcterms:modified xsi:type="dcterms:W3CDTF">2023-03-03T04:36:00Z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