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75"/>
        <w:gridCol w:w="6854"/>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4219AB" w:rsidRDefault="00BB291F" w:rsidP="00BB291F">
            <w:pPr>
              <w:spacing w:after="0"/>
              <w:jc w:val="center"/>
              <w:rPr>
                <w:rFonts w:ascii="Calibri" w:hAnsi="Calibri" w:cs="Calibri"/>
                <w:i/>
                <w:szCs w:val="24"/>
                <w:lang w:val="en-IN"/>
              </w:rPr>
            </w:pPr>
            <w:r w:rsidRPr="004219AB">
              <w:rPr>
                <w:rFonts w:ascii="Calibri" w:hAnsi="Calibri" w:cs="Calibri"/>
                <w:sz w:val="28"/>
                <w:szCs w:val="32"/>
                <w:lang w:val="en-IN"/>
              </w:rPr>
              <w:t>Post Graduate Diploma in Management</w:t>
            </w:r>
            <w:r w:rsidR="000035F5" w:rsidRPr="004219AB">
              <w:rPr>
                <w:rFonts w:ascii="Calibri" w:hAnsi="Calibri" w:cs="Calibri"/>
                <w:sz w:val="28"/>
                <w:szCs w:val="32"/>
                <w:lang w:val="en-IN"/>
              </w:rPr>
              <w:t xml:space="preserve"> (Batch 2022-24</w:t>
            </w:r>
            <w:r w:rsidR="003C746A" w:rsidRPr="004219AB">
              <w:rPr>
                <w:rFonts w:ascii="Calibri" w:hAnsi="Calibri" w:cs="Calibri"/>
                <w:sz w:val="28"/>
                <w:szCs w:val="32"/>
                <w:lang w:val="en-IN"/>
              </w:rPr>
              <w: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35261D">
              <w:rPr>
                <w:rFonts w:ascii="Calibri" w:hAnsi="Calibri" w:cs="Calibri"/>
                <w:b/>
                <w:color w:val="000000" w:themeColor="text1"/>
                <w:sz w:val="28"/>
                <w:szCs w:val="28"/>
                <w:lang w:val="en-IN"/>
              </w:rPr>
              <w:t>Investment Banking</w:t>
            </w:r>
            <w:r w:rsidR="0035261D">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5261D">
              <w:rPr>
                <w:rFonts w:ascii="Calibri" w:hAnsi="Calibri" w:cs="Calibri"/>
                <w:b/>
                <w:sz w:val="28"/>
                <w:szCs w:val="28"/>
                <w:lang w:val="en-IN"/>
              </w:rPr>
              <w:t>40244</w:t>
            </w:r>
            <w:r w:rsidRPr="00921E9B">
              <w:rPr>
                <w:rFonts w:ascii="Calibri" w:hAnsi="Calibri" w:cs="Calibri"/>
                <w:b/>
                <w:sz w:val="28"/>
                <w:szCs w:val="28"/>
                <w:lang w:val="en-IN"/>
              </w:rPr>
              <w:t>)</w:t>
            </w:r>
          </w:p>
          <w:p w:rsidR="00BB291F" w:rsidRPr="00921E9B" w:rsidRDefault="00477D39" w:rsidP="00477D39">
            <w:pPr>
              <w:tabs>
                <w:tab w:val="left" w:pos="90"/>
              </w:tabs>
              <w:spacing w:after="0"/>
              <w:jc w:val="center"/>
              <w:rPr>
                <w:rFonts w:ascii="Calibri" w:hAnsi="Calibri" w:cs="Calibri"/>
                <w:b/>
                <w:sz w:val="32"/>
                <w:szCs w:val="24"/>
                <w:lang w:val="en-IN"/>
              </w:rPr>
            </w:pPr>
            <w:r>
              <w:rPr>
                <w:rFonts w:ascii="Calibri" w:hAnsi="Calibri" w:cs="Calibri"/>
                <w:b/>
                <w:sz w:val="28"/>
                <w:szCs w:val="28"/>
                <w:lang w:val="en-IN"/>
              </w:rPr>
              <w:t>Term-End</w:t>
            </w:r>
            <w:r w:rsidR="000E546F">
              <w:rPr>
                <w:rFonts w:ascii="Calibri" w:hAnsi="Calibri" w:cs="Calibri"/>
                <w:b/>
                <w:sz w:val="28"/>
                <w:szCs w:val="28"/>
                <w:lang w:val="en-IN"/>
              </w:rPr>
              <w:t xml:space="preserve">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D12FBB">
              <w:rPr>
                <w:rFonts w:ascii="Calibri" w:hAnsi="Calibri" w:cs="Calibri"/>
                <w:b/>
                <w:sz w:val="28"/>
                <w:szCs w:val="28"/>
                <w:lang w:val="en-IN"/>
              </w:rPr>
              <w:t xml:space="preserve">April </w:t>
            </w:r>
            <w:r w:rsidR="00BB291F" w:rsidRPr="00921E9B">
              <w:rPr>
                <w:rFonts w:ascii="Calibri" w:hAnsi="Calibri" w:cs="Calibri"/>
                <w:b/>
                <w:sz w:val="28"/>
                <w:szCs w:val="28"/>
                <w:lang w:val="en-IN"/>
              </w:rPr>
              <w:t>202</w:t>
            </w:r>
            <w:r w:rsidR="00D12FBB">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7C78B7">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7C78B7" w:rsidRPr="00921E9B" w:rsidRDefault="007C78B7" w:rsidP="00000F8C">
      <w:pPr>
        <w:spacing w:after="0" w:line="240" w:lineRule="auto"/>
        <w:jc w:val="both"/>
        <w:rPr>
          <w:rFonts w:ascii="Calibri" w:hAnsi="Calibri" w:cs="Calibri"/>
          <w:b/>
          <w:sz w:val="24"/>
          <w:szCs w:val="24"/>
        </w:rPr>
      </w:pPr>
    </w:p>
    <w:p w:rsidR="00AF7654" w:rsidRDefault="0035261D"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This is a </w:t>
      </w:r>
      <w:r w:rsidR="002561A5">
        <w:rPr>
          <w:rFonts w:ascii="Calibri" w:hAnsi="Calibri" w:cs="Calibri"/>
          <w:bCs/>
          <w:i/>
          <w:sz w:val="24"/>
          <w:szCs w:val="24"/>
        </w:rPr>
        <w:t>pen-and-paper</w:t>
      </w:r>
      <w:r w:rsidR="004A27C6">
        <w:rPr>
          <w:rFonts w:ascii="Calibri" w:hAnsi="Calibri" w:cs="Calibri"/>
          <w:bCs/>
          <w:i/>
          <w:sz w:val="24"/>
          <w:szCs w:val="24"/>
        </w:rPr>
        <w:t xml:space="preserve"> exam. </w:t>
      </w:r>
      <w:r w:rsidR="00CB5A86">
        <w:rPr>
          <w:rFonts w:ascii="Calibri" w:hAnsi="Calibri" w:cs="Calibri"/>
          <w:bCs/>
          <w:i/>
          <w:sz w:val="24"/>
          <w:szCs w:val="24"/>
        </w:rPr>
        <w:t xml:space="preserve">Students </w:t>
      </w:r>
      <w:r w:rsidR="00CB5A86" w:rsidRPr="00674B1C">
        <w:rPr>
          <w:rFonts w:ascii="Calibri" w:hAnsi="Calibri" w:cs="Calibri"/>
          <w:b/>
          <w:bCs/>
          <w:i/>
          <w:sz w:val="24"/>
          <w:szCs w:val="24"/>
        </w:rPr>
        <w:t>can refer to physical copies of class notes</w:t>
      </w:r>
      <w:r w:rsidR="00674B1C" w:rsidRPr="00674B1C">
        <w:rPr>
          <w:rFonts w:ascii="Calibri" w:hAnsi="Calibri" w:cs="Calibri"/>
          <w:b/>
          <w:bCs/>
          <w:i/>
          <w:sz w:val="24"/>
          <w:szCs w:val="24"/>
        </w:rPr>
        <w:t xml:space="preserve">, </w:t>
      </w:r>
      <w:r w:rsidR="007C78B7">
        <w:rPr>
          <w:rFonts w:ascii="Calibri" w:hAnsi="Calibri" w:cs="Calibri"/>
          <w:b/>
          <w:bCs/>
          <w:i/>
          <w:sz w:val="24"/>
          <w:szCs w:val="24"/>
        </w:rPr>
        <w:t xml:space="preserve">and </w:t>
      </w:r>
      <w:r w:rsidR="00D13599">
        <w:rPr>
          <w:rFonts w:ascii="Calibri" w:hAnsi="Calibri" w:cs="Calibri"/>
          <w:b/>
          <w:bCs/>
          <w:i/>
          <w:sz w:val="24"/>
          <w:szCs w:val="24"/>
        </w:rPr>
        <w:t>textbook</w:t>
      </w:r>
      <w:r w:rsidR="00CB5A86" w:rsidRPr="00674B1C">
        <w:rPr>
          <w:rFonts w:ascii="Calibri" w:hAnsi="Calibri" w:cs="Calibri"/>
          <w:b/>
          <w:bCs/>
          <w:i/>
          <w:sz w:val="24"/>
          <w:szCs w:val="24"/>
        </w:rPr>
        <w:t>, if any</w:t>
      </w:r>
      <w:r w:rsidR="00674B1C">
        <w:rPr>
          <w:rFonts w:ascii="Calibri" w:hAnsi="Calibri" w:cs="Calibri"/>
          <w:b/>
          <w:bCs/>
          <w:i/>
          <w:sz w:val="24"/>
          <w:szCs w:val="24"/>
        </w:rPr>
        <w:t xml:space="preserve"> </w:t>
      </w:r>
      <w:r w:rsidR="007C78B7">
        <w:rPr>
          <w:rFonts w:ascii="Calibri" w:hAnsi="Calibri" w:cs="Calibri"/>
          <w:b/>
          <w:bCs/>
          <w:i/>
          <w:sz w:val="24"/>
          <w:szCs w:val="24"/>
        </w:rPr>
        <w:t>(</w:t>
      </w:r>
      <w:r w:rsidR="007C78B7" w:rsidRPr="00674B1C">
        <w:rPr>
          <w:rFonts w:ascii="Calibri" w:hAnsi="Calibri" w:cs="Calibri"/>
          <w:b/>
          <w:bCs/>
          <w:i/>
          <w:sz w:val="24"/>
          <w:szCs w:val="24"/>
        </w:rPr>
        <w:t>Open</w:t>
      </w:r>
      <w:r w:rsidR="00674B1C" w:rsidRPr="00674B1C">
        <w:rPr>
          <w:rFonts w:ascii="Calibri" w:hAnsi="Calibri" w:cs="Calibri"/>
          <w:b/>
          <w:bCs/>
          <w:i/>
          <w:sz w:val="24"/>
          <w:szCs w:val="24"/>
        </w:rPr>
        <w:t xml:space="preserve"> Book exam)</w:t>
      </w:r>
      <w:r w:rsidR="00674B1C">
        <w:rPr>
          <w:rFonts w:ascii="Calibri" w:hAnsi="Calibri" w:cs="Calibri"/>
          <w:bCs/>
          <w:i/>
          <w:sz w:val="24"/>
          <w:szCs w:val="24"/>
        </w:rPr>
        <w:t>.</w:t>
      </w:r>
    </w:p>
    <w:p w:rsidR="0035261D" w:rsidRDefault="0035261D" w:rsidP="0035261D">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35261D" w:rsidRDefault="0035261D" w:rsidP="0035261D">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Usage of </w:t>
      </w:r>
      <w:r w:rsidR="002561A5">
        <w:rPr>
          <w:rFonts w:ascii="Calibri" w:hAnsi="Calibri" w:cs="Calibri"/>
          <w:bCs/>
          <w:i/>
          <w:sz w:val="24"/>
          <w:szCs w:val="24"/>
        </w:rPr>
        <w:t xml:space="preserve">the </w:t>
      </w:r>
      <w:r w:rsidRPr="007C78B7">
        <w:rPr>
          <w:rFonts w:ascii="Calibri" w:hAnsi="Calibri" w:cs="Calibri"/>
          <w:b/>
          <w:bCs/>
          <w:i/>
          <w:sz w:val="24"/>
          <w:szCs w:val="24"/>
        </w:rPr>
        <w:t>Internet is not allowed</w:t>
      </w:r>
      <w:r>
        <w:rPr>
          <w:rFonts w:ascii="Calibri" w:hAnsi="Calibri" w:cs="Calibri"/>
          <w:bCs/>
          <w:i/>
          <w:sz w:val="24"/>
          <w:szCs w:val="24"/>
        </w:rPr>
        <w:t xml:space="preserve">. </w:t>
      </w:r>
    </w:p>
    <w:p w:rsidR="0035261D" w:rsidRDefault="00D13599" w:rsidP="0035261D">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Students can make use of calculators</w:t>
      </w:r>
      <w:r w:rsidR="0035261D">
        <w:rPr>
          <w:rFonts w:ascii="Calibri" w:hAnsi="Calibri" w:cs="Calibri"/>
          <w:bCs/>
          <w:i/>
          <w:sz w:val="24"/>
          <w:szCs w:val="24"/>
        </w:rPr>
        <w:t xml:space="preserve">.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w:t>
      </w:r>
      <w:r w:rsidR="0035261D">
        <w:rPr>
          <w:rFonts w:ascii="Calibri" w:hAnsi="Calibri" w:cs="Calibri"/>
          <w:bCs/>
          <w:i/>
          <w:sz w:val="24"/>
          <w:szCs w:val="24"/>
        </w:rPr>
        <w:t xml:space="preserve"> anything </w:t>
      </w:r>
      <w:r w:rsidRPr="00921E9B">
        <w:rPr>
          <w:rFonts w:ascii="Calibri" w:hAnsi="Calibri" w:cs="Calibri"/>
          <w:bCs/>
          <w:i/>
          <w:sz w:val="24"/>
          <w:szCs w:val="24"/>
        </w:rPr>
        <w:t>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690F3B" w:rsidRDefault="00581D24" w:rsidP="00690F3B">
      <w:pPr>
        <w:jc w:val="both"/>
        <w:rPr>
          <w:rFonts w:eastAsia="Times New Roman" w:cstheme="minorHAnsi"/>
          <w:b/>
          <w:sz w:val="24"/>
          <w:szCs w:val="24"/>
        </w:rPr>
      </w:pPr>
      <w:r>
        <w:rPr>
          <w:rFonts w:eastAsia="Times New Roman" w:cstheme="minorHAnsi"/>
          <w:b/>
          <w:sz w:val="24"/>
          <w:szCs w:val="24"/>
        </w:rPr>
        <w:t>Q1</w:t>
      </w:r>
      <w:r w:rsidR="00690F3B">
        <w:rPr>
          <w:rFonts w:eastAsia="Times New Roman" w:cstheme="minorHAnsi"/>
          <w:b/>
          <w:sz w:val="24"/>
          <w:szCs w:val="24"/>
        </w:rPr>
        <w:t>.</w:t>
      </w:r>
      <w:r>
        <w:rPr>
          <w:rFonts w:eastAsia="Times New Roman" w:cstheme="minorHAnsi"/>
          <w:b/>
          <w:sz w:val="24"/>
          <w:szCs w:val="24"/>
        </w:rPr>
        <w:t xml:space="preserve"> </w:t>
      </w:r>
      <w:r>
        <w:rPr>
          <w:rFonts w:ascii="Segoe UI" w:hAnsi="Segoe UI" w:cs="Segoe UI"/>
          <w:color w:val="0D0D0D"/>
          <w:shd w:val="clear" w:color="auto" w:fill="FFFFFF"/>
        </w:rPr>
        <w:t xml:space="preserve">Investment banking plays a pivotal role in the financial ecosystem, facilitating capital flows between investors and companies. Considering the complexities and dynamics of the investment banking industry, critically analyze the interdependence between stakeholders such as regulators, buy-side and sell-side analysts, and investment bankers. Discuss how conflicting interests and regulatory frameworks impact the functioning of investment banks and influence decision-making processes. </w:t>
      </w:r>
      <w:r w:rsidR="00FD445A" w:rsidRPr="00FD445A">
        <w:rPr>
          <w:rFonts w:ascii="Segoe UI" w:hAnsi="Segoe UI" w:cs="Segoe UI"/>
          <w:b/>
          <w:i/>
          <w:color w:val="0D0D0D"/>
          <w:shd w:val="clear" w:color="auto" w:fill="FFFFFF"/>
        </w:rPr>
        <w:t>Discover</w:t>
      </w:r>
      <w:r>
        <w:rPr>
          <w:rFonts w:ascii="Segoe UI" w:hAnsi="Segoe UI" w:cs="Segoe UI"/>
          <w:color w:val="0D0D0D"/>
          <w:shd w:val="clear" w:color="auto" w:fill="FFFFFF"/>
        </w:rPr>
        <w:t xml:space="preserve"> insights into the ethical dilemmas faced by investment bankers and explore strategies to navigate these challenges while maintaining integrity and professionalism. </w:t>
      </w:r>
      <w:r w:rsidR="00A25CEC" w:rsidRPr="00A25CEC">
        <w:rPr>
          <w:rFonts w:ascii="Segoe UI" w:hAnsi="Segoe UI" w:cs="Segoe UI"/>
          <w:b/>
          <w:i/>
          <w:color w:val="0D0D0D"/>
          <w:shd w:val="clear" w:color="auto" w:fill="FFFFFF"/>
        </w:rPr>
        <w:t>List</w:t>
      </w:r>
      <w:r>
        <w:rPr>
          <w:rFonts w:ascii="Segoe UI" w:hAnsi="Segoe UI" w:cs="Segoe UI"/>
          <w:color w:val="0D0D0D"/>
          <w:shd w:val="clear" w:color="auto" w:fill="FFFFFF"/>
        </w:rPr>
        <w:t xml:space="preserve"> your arguments using examples and propose recommendations for ensuring transparency, accountability, and sustainable growth within the investment banking sector.</w:t>
      </w:r>
      <w:r>
        <w:rPr>
          <w:rFonts w:ascii="Segoe UI" w:hAnsi="Segoe UI" w:cs="Segoe UI"/>
          <w:color w:val="0D0D0D"/>
          <w:shd w:val="clear" w:color="auto" w:fill="FFFFFF"/>
        </w:rPr>
        <w:tab/>
      </w:r>
      <w:r w:rsidR="006D5031">
        <w:rPr>
          <w:rFonts w:ascii="Segoe UI" w:hAnsi="Segoe UI" w:cs="Segoe UI"/>
          <w:color w:val="0D0D0D"/>
          <w:shd w:val="clear" w:color="auto" w:fill="FFFFFF"/>
        </w:rPr>
        <w:tab/>
      </w:r>
      <w:r w:rsidR="006D5031">
        <w:rPr>
          <w:rFonts w:ascii="Segoe UI" w:hAnsi="Segoe UI" w:cs="Segoe UI"/>
          <w:color w:val="0D0D0D"/>
          <w:shd w:val="clear" w:color="auto" w:fill="FFFFFF"/>
        </w:rPr>
        <w:tab/>
        <w:t xml:space="preserve">           </w:t>
      </w:r>
      <w:r w:rsidR="00690F3B">
        <w:rPr>
          <w:rFonts w:ascii="Segoe UI" w:hAnsi="Segoe UI" w:cs="Segoe UI"/>
          <w:color w:val="0D0D0D"/>
          <w:shd w:val="clear" w:color="auto" w:fill="FFFFFF"/>
        </w:rPr>
        <w:t xml:space="preserve"> </w:t>
      </w:r>
      <w:r w:rsidR="006D5031" w:rsidRPr="00690F3B">
        <w:rPr>
          <w:rFonts w:ascii="Segoe UI" w:hAnsi="Segoe UI" w:cs="Segoe UI"/>
          <w:b/>
          <w:color w:val="0D0D0D"/>
          <w:shd w:val="clear" w:color="auto" w:fill="FFFFFF"/>
        </w:rPr>
        <w:t>(</w:t>
      </w:r>
      <w:r w:rsidR="00690F3B" w:rsidRPr="00690F3B">
        <w:rPr>
          <w:rFonts w:ascii="Segoe UI" w:hAnsi="Segoe UI" w:cs="Segoe UI"/>
          <w:b/>
          <w:color w:val="0D0D0D"/>
          <w:shd w:val="clear" w:color="auto" w:fill="FFFFFF"/>
        </w:rPr>
        <w:t>8</w:t>
      </w:r>
      <w:r w:rsidR="00690F3B">
        <w:rPr>
          <w:rFonts w:ascii="Segoe UI" w:hAnsi="Segoe UI" w:cs="Segoe UI"/>
          <w:b/>
          <w:color w:val="0D0D0D"/>
          <w:shd w:val="clear" w:color="auto" w:fill="FFFFFF"/>
        </w:rPr>
        <w:t xml:space="preserve"> </w:t>
      </w:r>
      <w:r w:rsidR="006D5031">
        <w:rPr>
          <w:rFonts w:eastAsia="Times New Roman" w:cstheme="minorHAnsi"/>
          <w:b/>
          <w:sz w:val="24"/>
          <w:szCs w:val="24"/>
        </w:rPr>
        <w:t>Marks)</w:t>
      </w:r>
      <w:r w:rsidR="00690F3B">
        <w:rPr>
          <w:rFonts w:eastAsia="Times New Roman" w:cstheme="minorHAnsi"/>
          <w:b/>
          <w:sz w:val="24"/>
          <w:szCs w:val="24"/>
        </w:rPr>
        <w:t xml:space="preserve"> </w:t>
      </w:r>
    </w:p>
    <w:p w:rsidR="00690F3B" w:rsidRDefault="00690F3B" w:rsidP="00690F3B">
      <w:pPr>
        <w:spacing w:after="0"/>
        <w:jc w:val="both"/>
        <w:rPr>
          <w:rFonts w:ascii="Segoe UI" w:hAnsi="Segoe UI" w:cs="Segoe UI"/>
          <w:b/>
          <w:color w:val="0D0D0D"/>
          <w:shd w:val="clear" w:color="auto" w:fill="FFFFFF"/>
        </w:rPr>
      </w:pPr>
    </w:p>
    <w:p w:rsidR="00626963" w:rsidRDefault="00626963" w:rsidP="00690F3B">
      <w:pPr>
        <w:jc w:val="both"/>
        <w:rPr>
          <w:rFonts w:ascii="Segoe UI" w:hAnsi="Segoe UI" w:cs="Segoe UI"/>
          <w:b/>
          <w:color w:val="0D0D0D"/>
          <w:shd w:val="clear" w:color="auto" w:fill="FFFFFF"/>
        </w:rPr>
      </w:pPr>
      <w:r w:rsidRPr="00626963">
        <w:rPr>
          <w:rFonts w:ascii="Segoe UI" w:hAnsi="Segoe UI" w:cs="Segoe UI"/>
          <w:b/>
          <w:color w:val="0D0D0D"/>
          <w:shd w:val="clear" w:color="auto" w:fill="FFFFFF"/>
        </w:rPr>
        <w:t>Q2</w:t>
      </w:r>
      <w:r w:rsidR="00690F3B">
        <w:rPr>
          <w:rFonts w:ascii="Segoe UI" w:hAnsi="Segoe UI" w:cs="Segoe UI"/>
          <w:b/>
          <w:color w:val="0D0D0D"/>
          <w:shd w:val="clear" w:color="auto" w:fill="FFFFFF"/>
        </w:rPr>
        <w:t>.</w:t>
      </w:r>
      <w:r w:rsidRPr="00626963">
        <w:rPr>
          <w:rFonts w:ascii="Segoe UI" w:hAnsi="Segoe UI" w:cs="Segoe UI"/>
          <w:b/>
          <w:color w:val="0D0D0D"/>
          <w:shd w:val="clear" w:color="auto" w:fill="FFFFFF"/>
        </w:rPr>
        <w:t xml:space="preserve"> </w:t>
      </w:r>
      <w:r w:rsidRPr="00626963">
        <w:rPr>
          <w:rFonts w:ascii="Segoe UI" w:hAnsi="Segoe UI" w:cs="Segoe UI"/>
          <w:color w:val="0D0D0D"/>
          <w:shd w:val="clear" w:color="auto" w:fill="FFFFFF"/>
        </w:rPr>
        <w:t xml:space="preserve">In the realm of Investment Banking services, analyze the significance of different security market segments such as bulk deals, block deals, and dual-class shares. How do these segments contribute to the overall functioning of the financial markets, and what roles do investment banks play in facilitating transactions within each segment? </w:t>
      </w:r>
      <w:r w:rsidRPr="00626963">
        <w:rPr>
          <w:rFonts w:ascii="Segoe UI" w:hAnsi="Segoe UI" w:cs="Segoe UI"/>
          <w:b/>
          <w:i/>
          <w:color w:val="0D0D0D"/>
          <w:shd w:val="clear" w:color="auto" w:fill="FFFFFF"/>
        </w:rPr>
        <w:t>Classify</w:t>
      </w:r>
      <w:r w:rsidRPr="00626963">
        <w:rPr>
          <w:rFonts w:ascii="Segoe UI" w:hAnsi="Segoe UI" w:cs="Segoe UI"/>
          <w:color w:val="0D0D0D"/>
          <w:shd w:val="clear" w:color="auto" w:fill="FFFFFF"/>
        </w:rPr>
        <w:t xml:space="preserve"> examples to illustrate your understanding of these concepts and their implications for investors and issuers.</w:t>
      </w:r>
      <w:r>
        <w:rPr>
          <w:rFonts w:ascii="Segoe UI" w:hAnsi="Segoe UI" w:cs="Segoe UI"/>
          <w:color w:val="0D0D0D"/>
          <w:shd w:val="clear" w:color="auto" w:fill="FFFFFF"/>
        </w:rPr>
        <w:t xml:space="preserve"> </w:t>
      </w:r>
      <w:r>
        <w:rPr>
          <w:rFonts w:ascii="Segoe UI" w:hAnsi="Segoe UI" w:cs="Segoe UI"/>
          <w:color w:val="0D0D0D"/>
          <w:shd w:val="clear" w:color="auto" w:fill="FFFFFF"/>
        </w:rPr>
        <w:tab/>
      </w:r>
      <w:r w:rsidR="00690F3B">
        <w:rPr>
          <w:rFonts w:ascii="Segoe UI" w:hAnsi="Segoe UI" w:cs="Segoe UI"/>
          <w:color w:val="0D0D0D"/>
          <w:shd w:val="clear" w:color="auto" w:fill="FFFFFF"/>
        </w:rPr>
        <w:tab/>
      </w:r>
      <w:r w:rsidR="00690F3B">
        <w:rPr>
          <w:rFonts w:ascii="Segoe UI" w:hAnsi="Segoe UI" w:cs="Segoe UI"/>
          <w:color w:val="0D0D0D"/>
          <w:shd w:val="clear" w:color="auto" w:fill="FFFFFF"/>
        </w:rPr>
        <w:tab/>
      </w:r>
      <w:r w:rsidR="00690F3B">
        <w:rPr>
          <w:rFonts w:ascii="Segoe UI" w:hAnsi="Segoe UI" w:cs="Segoe UI"/>
          <w:color w:val="0D0D0D"/>
          <w:shd w:val="clear" w:color="auto" w:fill="FFFFFF"/>
        </w:rPr>
        <w:tab/>
      </w:r>
      <w:r w:rsidR="00690F3B" w:rsidRPr="00690F3B">
        <w:rPr>
          <w:rFonts w:ascii="Segoe UI" w:hAnsi="Segoe UI" w:cs="Segoe UI"/>
          <w:b/>
          <w:color w:val="0D0D0D"/>
          <w:shd w:val="clear" w:color="auto" w:fill="FFFFFF"/>
        </w:rPr>
        <w:t>(</w:t>
      </w:r>
      <w:r w:rsidR="00690F3B">
        <w:rPr>
          <w:rFonts w:ascii="Segoe UI" w:hAnsi="Segoe UI" w:cs="Segoe UI"/>
          <w:b/>
          <w:color w:val="0D0D0D"/>
          <w:shd w:val="clear" w:color="auto" w:fill="FFFFFF"/>
        </w:rPr>
        <w:t xml:space="preserve">5 </w:t>
      </w:r>
      <w:r w:rsidR="00690F3B" w:rsidRPr="00626963">
        <w:rPr>
          <w:rFonts w:ascii="Segoe UI" w:hAnsi="Segoe UI" w:cs="Segoe UI"/>
          <w:b/>
          <w:color w:val="0D0D0D"/>
          <w:shd w:val="clear" w:color="auto" w:fill="FFFFFF"/>
        </w:rPr>
        <w:t>Marks</w:t>
      </w:r>
      <w:r w:rsidR="00690F3B">
        <w:rPr>
          <w:rFonts w:ascii="Segoe UI" w:hAnsi="Segoe UI" w:cs="Segoe UI"/>
          <w:b/>
          <w:color w:val="0D0D0D"/>
          <w:shd w:val="clear" w:color="auto" w:fill="FFFFFF"/>
        </w:rPr>
        <w:t>)</w:t>
      </w:r>
    </w:p>
    <w:p w:rsidR="00690F3B" w:rsidRDefault="00690F3B" w:rsidP="00690F3B">
      <w:pPr>
        <w:spacing w:after="0"/>
        <w:jc w:val="both"/>
        <w:rPr>
          <w:rFonts w:ascii="Segoe UI" w:hAnsi="Segoe UI" w:cs="Segoe UI"/>
          <w:color w:val="0D0D0D"/>
          <w:shd w:val="clear" w:color="auto" w:fill="FFFFFF"/>
        </w:rPr>
      </w:pPr>
    </w:p>
    <w:p w:rsidR="009211BA" w:rsidRPr="004F419F" w:rsidRDefault="00F26A76" w:rsidP="00690F3B">
      <w:pPr>
        <w:spacing w:after="0"/>
        <w:jc w:val="both"/>
        <w:rPr>
          <w:rFonts w:cstheme="minorHAnsi"/>
          <w:b/>
          <w:color w:val="0E101A"/>
          <w:sz w:val="24"/>
          <w:szCs w:val="24"/>
        </w:rPr>
      </w:pPr>
      <w:r w:rsidRPr="00690F3B">
        <w:rPr>
          <w:rFonts w:ascii="Segoe UI" w:hAnsi="Segoe UI" w:cs="Segoe UI"/>
          <w:b/>
          <w:color w:val="0D0D0D"/>
          <w:shd w:val="clear" w:color="auto" w:fill="FFFFFF"/>
        </w:rPr>
        <w:t>Q</w:t>
      </w:r>
      <w:r w:rsidR="00626963" w:rsidRPr="00690F3B">
        <w:rPr>
          <w:rFonts w:ascii="Segoe UI" w:hAnsi="Segoe UI" w:cs="Segoe UI"/>
          <w:b/>
          <w:color w:val="0D0D0D"/>
          <w:shd w:val="clear" w:color="auto" w:fill="FFFFFF"/>
        </w:rPr>
        <w:t>3</w:t>
      </w:r>
      <w:r w:rsidR="00690F3B">
        <w:rPr>
          <w:rFonts w:ascii="Segoe UI" w:hAnsi="Segoe UI" w:cs="Segoe UI"/>
          <w:b/>
          <w:color w:val="0D0D0D"/>
          <w:shd w:val="clear" w:color="auto" w:fill="FFFFFF"/>
        </w:rPr>
        <w:t>.</w:t>
      </w:r>
      <w:r w:rsidR="00581D24" w:rsidRPr="00690F3B">
        <w:rPr>
          <w:rFonts w:ascii="Segoe UI" w:hAnsi="Segoe UI" w:cs="Segoe UI"/>
          <w:b/>
          <w:color w:val="0D0D0D"/>
          <w:shd w:val="clear" w:color="auto" w:fill="FFFFFF"/>
        </w:rPr>
        <w:t xml:space="preserve"> </w:t>
      </w:r>
      <w:r w:rsidR="009211BA">
        <w:rPr>
          <w:rFonts w:cstheme="minorHAnsi"/>
          <w:color w:val="0E101A"/>
        </w:rPr>
        <w:t xml:space="preserve"> </w:t>
      </w:r>
      <w:r w:rsidR="009211BA" w:rsidRPr="004F419F">
        <w:rPr>
          <w:rFonts w:eastAsia="Times New Roman" w:cstheme="minorHAnsi"/>
          <w:color w:val="000000" w:themeColor="text1"/>
          <w:sz w:val="24"/>
          <w:szCs w:val="24"/>
          <w:lang w:val="en-IN" w:eastAsia="en-IN"/>
        </w:rPr>
        <w:t xml:space="preserve">Read the </w:t>
      </w:r>
      <w:r w:rsidR="00A25CEC" w:rsidRPr="004F419F">
        <w:rPr>
          <w:rFonts w:eastAsia="Times New Roman" w:cstheme="minorHAnsi"/>
          <w:color w:val="000000" w:themeColor="text1"/>
          <w:sz w:val="24"/>
          <w:szCs w:val="24"/>
          <w:lang w:val="en-IN" w:eastAsia="en-IN"/>
        </w:rPr>
        <w:t>case</w:t>
      </w:r>
      <w:r w:rsidR="009211BA" w:rsidRPr="004F419F">
        <w:rPr>
          <w:rFonts w:eastAsia="Times New Roman" w:cstheme="minorHAnsi"/>
          <w:color w:val="000000" w:themeColor="text1"/>
          <w:sz w:val="24"/>
          <w:szCs w:val="24"/>
          <w:lang w:val="en-IN" w:eastAsia="en-IN"/>
        </w:rPr>
        <w:t xml:space="preserve"> about the IPO of KP Green Engineering Limited and answer the questions following the </w:t>
      </w:r>
      <w:r w:rsidR="00A25CEC" w:rsidRPr="004F419F">
        <w:rPr>
          <w:rFonts w:eastAsia="Times New Roman" w:cstheme="minorHAnsi"/>
          <w:color w:val="000000" w:themeColor="text1"/>
          <w:sz w:val="24"/>
          <w:szCs w:val="24"/>
          <w:lang w:val="en-IN" w:eastAsia="en-IN"/>
        </w:rPr>
        <w:t>case:</w:t>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r>
      <w:r w:rsidR="004F419F">
        <w:rPr>
          <w:rFonts w:cstheme="minorHAnsi"/>
          <w:color w:val="0E101A"/>
          <w:sz w:val="24"/>
          <w:szCs w:val="24"/>
        </w:rPr>
        <w:tab/>
        <w:t xml:space="preserve">      </w:t>
      </w:r>
      <w:proofErr w:type="gramStart"/>
      <w:r w:rsidR="004F419F">
        <w:rPr>
          <w:rFonts w:cstheme="minorHAnsi"/>
          <w:color w:val="0E101A"/>
          <w:sz w:val="24"/>
          <w:szCs w:val="24"/>
        </w:rPr>
        <w:t xml:space="preserve">   </w:t>
      </w:r>
      <w:r w:rsidR="00690F3B" w:rsidRPr="004F419F">
        <w:rPr>
          <w:rFonts w:ascii="Segoe UI" w:hAnsi="Segoe UI" w:cs="Segoe UI"/>
          <w:b/>
          <w:color w:val="0D0D0D"/>
          <w:sz w:val="24"/>
          <w:szCs w:val="24"/>
          <w:shd w:val="clear" w:color="auto" w:fill="FFFFFF"/>
        </w:rPr>
        <w:t>(</w:t>
      </w:r>
      <w:proofErr w:type="gramEnd"/>
      <w:r w:rsidR="00690F3B" w:rsidRPr="004F419F">
        <w:rPr>
          <w:rFonts w:ascii="Segoe UI" w:hAnsi="Segoe UI" w:cs="Segoe UI"/>
          <w:b/>
          <w:color w:val="0D0D0D"/>
          <w:sz w:val="24"/>
          <w:szCs w:val="24"/>
          <w:shd w:val="clear" w:color="auto" w:fill="FFFFFF"/>
        </w:rPr>
        <w:t>10 Marks)</w:t>
      </w:r>
    </w:p>
    <w:p w:rsidR="009211BA" w:rsidRPr="004418D5" w:rsidRDefault="009211BA" w:rsidP="00690F3B">
      <w:pPr>
        <w:pStyle w:val="NormalWeb"/>
        <w:spacing w:before="0" w:beforeAutospacing="0" w:after="0" w:afterAutospacing="0" w:line="276" w:lineRule="auto"/>
        <w:rPr>
          <w:rFonts w:asciiTheme="minorHAnsi" w:hAnsiTheme="minorHAnsi" w:cstheme="minorHAnsi"/>
          <w:color w:val="0E101A"/>
        </w:rPr>
      </w:pPr>
    </w:p>
    <w:p w:rsidR="009211BA" w:rsidRPr="004418D5" w:rsidRDefault="009211BA" w:rsidP="00690F3B">
      <w:pPr>
        <w:pStyle w:val="NormalWeb"/>
        <w:spacing w:before="0" w:beforeAutospacing="0" w:after="0" w:afterAutospacing="0" w:line="276" w:lineRule="auto"/>
        <w:jc w:val="both"/>
        <w:rPr>
          <w:rFonts w:asciiTheme="minorHAnsi" w:hAnsiTheme="minorHAnsi" w:cstheme="minorHAnsi"/>
          <w:color w:val="000000" w:themeColor="text1"/>
        </w:rPr>
      </w:pPr>
      <w:r w:rsidRPr="004418D5">
        <w:rPr>
          <w:rFonts w:asciiTheme="minorHAnsi" w:hAnsiTheme="minorHAnsi" w:cstheme="minorHAnsi"/>
          <w:color w:val="000000" w:themeColor="text1"/>
        </w:rPr>
        <w:t>KP Green Engineering IPO</w:t>
      </w:r>
      <w:r>
        <w:rPr>
          <w:rFonts w:asciiTheme="minorHAnsi" w:hAnsiTheme="minorHAnsi" w:cstheme="minorHAnsi"/>
          <w:color w:val="000000" w:themeColor="text1"/>
        </w:rPr>
        <w:t>, a profit-making SME</w:t>
      </w:r>
      <w:r w:rsidRPr="004418D5">
        <w:rPr>
          <w:rFonts w:asciiTheme="minorHAnsi" w:hAnsiTheme="minorHAnsi" w:cstheme="minorHAnsi"/>
          <w:color w:val="000000" w:themeColor="text1"/>
        </w:rPr>
        <w:t xml:space="preserve"> is a book-built issue of </w:t>
      </w:r>
      <w:proofErr w:type="spellStart"/>
      <w:r w:rsidRPr="004418D5">
        <w:rPr>
          <w:rFonts w:asciiTheme="minorHAnsi" w:hAnsiTheme="minorHAnsi" w:cstheme="minorHAnsi"/>
          <w:color w:val="000000" w:themeColor="text1"/>
        </w:rPr>
        <w:t>Rs</w:t>
      </w:r>
      <w:proofErr w:type="spellEnd"/>
      <w:r w:rsidRPr="004418D5">
        <w:rPr>
          <w:rFonts w:asciiTheme="minorHAnsi" w:hAnsiTheme="minorHAnsi" w:cstheme="minorHAnsi"/>
          <w:color w:val="000000" w:themeColor="text1"/>
        </w:rPr>
        <w:t xml:space="preserve"> 189.50 crores, entirely a fresh issue of 131.6 lakh shares. The KP Green Engineering IPO bidding started on March 15, 2024, and ended on March 19, 2024. The allotment for the KP Green Engineering IPO is expected to be finalized on Wednesday, March 20, 2024. The KP Green Engineering IPO will be listed on </w:t>
      </w:r>
      <w:r>
        <w:rPr>
          <w:rFonts w:asciiTheme="minorHAnsi" w:hAnsiTheme="minorHAnsi" w:cstheme="minorHAnsi"/>
          <w:color w:val="000000" w:themeColor="text1"/>
        </w:rPr>
        <w:t>the secondary market</w:t>
      </w:r>
      <w:r w:rsidRPr="004418D5">
        <w:rPr>
          <w:rFonts w:asciiTheme="minorHAnsi" w:hAnsiTheme="minorHAnsi" w:cstheme="minorHAnsi"/>
          <w:color w:val="000000" w:themeColor="text1"/>
        </w:rPr>
        <w:t>, with a tentative date fixed as Friday, March 22, 2024.</w:t>
      </w:r>
    </w:p>
    <w:p w:rsidR="009211BA" w:rsidRPr="004418D5" w:rsidRDefault="009211BA" w:rsidP="00690F3B">
      <w:pPr>
        <w:pStyle w:val="NormalWeb"/>
        <w:spacing w:before="0" w:beforeAutospacing="0" w:after="0" w:afterAutospacing="0" w:line="276" w:lineRule="auto"/>
        <w:jc w:val="both"/>
        <w:rPr>
          <w:rFonts w:asciiTheme="minorHAnsi" w:hAnsiTheme="minorHAnsi" w:cstheme="minorHAnsi"/>
          <w:color w:val="000000" w:themeColor="text1"/>
        </w:rPr>
      </w:pPr>
      <w:r w:rsidRPr="004418D5">
        <w:rPr>
          <w:rFonts w:asciiTheme="minorHAnsi" w:hAnsiTheme="minorHAnsi" w:cstheme="minorHAnsi"/>
          <w:color w:val="000000" w:themeColor="text1"/>
        </w:rPr>
        <w:lastRenderedPageBreak/>
        <w:t>KP Green Engineering's IPO price band is set at ₹137 to ₹144 per share. The minimum lot size for an application is 1000 Shares. The minimum lot size investment for HNI is two lots.</w:t>
      </w:r>
      <w:r>
        <w:rPr>
          <w:rFonts w:asciiTheme="minorHAnsi" w:hAnsiTheme="minorHAnsi" w:cstheme="minorHAnsi"/>
          <w:color w:val="000000" w:themeColor="text1"/>
        </w:rPr>
        <w:t xml:space="preserve"> </w:t>
      </w:r>
      <w:hyperlink r:id="rId9" w:tgtFrame="_blank" w:history="1">
        <w:r w:rsidRPr="004418D5">
          <w:rPr>
            <w:rStyle w:val="Hyperlink"/>
            <w:rFonts w:asciiTheme="minorHAnsi" w:hAnsiTheme="minorHAnsi" w:cstheme="minorHAnsi"/>
            <w:color w:val="000000" w:themeColor="text1"/>
            <w:u w:val="none"/>
          </w:rPr>
          <w:t>Beeline Capital Advisors Pvt Ltd</w:t>
        </w:r>
      </w:hyperlink>
      <w:r w:rsidRPr="004418D5">
        <w:rPr>
          <w:rFonts w:asciiTheme="minorHAnsi" w:hAnsiTheme="minorHAnsi" w:cstheme="minorHAnsi"/>
          <w:color w:val="000000" w:themeColor="text1"/>
        </w:rPr>
        <w:t> is the book-running lead manager of the KP Green Engineering IPO, while </w:t>
      </w:r>
      <w:hyperlink r:id="rId10" w:tgtFrame="_blank" w:history="1">
        <w:proofErr w:type="spellStart"/>
        <w:r w:rsidRPr="004418D5">
          <w:rPr>
            <w:rStyle w:val="Hyperlink"/>
            <w:rFonts w:asciiTheme="minorHAnsi" w:hAnsiTheme="minorHAnsi" w:cstheme="minorHAnsi"/>
            <w:color w:val="000000" w:themeColor="text1"/>
            <w:u w:val="none"/>
          </w:rPr>
          <w:t>Bigshare</w:t>
        </w:r>
        <w:proofErr w:type="spellEnd"/>
        <w:r w:rsidRPr="004418D5">
          <w:rPr>
            <w:rStyle w:val="Hyperlink"/>
            <w:rFonts w:asciiTheme="minorHAnsi" w:hAnsiTheme="minorHAnsi" w:cstheme="minorHAnsi"/>
            <w:color w:val="000000" w:themeColor="text1"/>
            <w:u w:val="none"/>
          </w:rPr>
          <w:t xml:space="preserve"> Services Pvt Ltd</w:t>
        </w:r>
      </w:hyperlink>
      <w:r w:rsidRPr="004418D5">
        <w:rPr>
          <w:rFonts w:asciiTheme="minorHAnsi" w:hAnsiTheme="minorHAnsi" w:cstheme="minorHAnsi"/>
          <w:color w:val="000000" w:themeColor="text1"/>
        </w:rPr>
        <w:t> is the registrar. Spread X Securities is the market maker for the KP Green Engineering IPO.</w:t>
      </w:r>
    </w:p>
    <w:p w:rsidR="009211BA" w:rsidRPr="004418D5" w:rsidRDefault="009211BA" w:rsidP="00690F3B">
      <w:pPr>
        <w:pStyle w:val="NormalWeb"/>
        <w:spacing w:before="0" w:beforeAutospacing="0" w:after="0" w:afterAutospacing="0" w:line="276" w:lineRule="auto"/>
        <w:rPr>
          <w:rFonts w:asciiTheme="minorHAnsi" w:hAnsiTheme="minorHAnsi" w:cstheme="minorHAnsi"/>
          <w:color w:val="0E101A"/>
        </w:rPr>
      </w:pPr>
    </w:p>
    <w:p w:rsidR="009211BA" w:rsidRPr="00E47678" w:rsidRDefault="009211BA" w:rsidP="00690F3B">
      <w:pPr>
        <w:shd w:val="clear" w:color="auto" w:fill="FFFFFF"/>
        <w:spacing w:after="100" w:afterAutospacing="1"/>
        <w:outlineLvl w:val="1"/>
        <w:rPr>
          <w:rFonts w:eastAsia="Times New Roman" w:cstheme="minorHAnsi"/>
          <w:b/>
          <w:color w:val="444242"/>
          <w:sz w:val="24"/>
          <w:szCs w:val="24"/>
          <w:lang w:eastAsia="en-IN"/>
        </w:rPr>
      </w:pPr>
      <w:r w:rsidRPr="00E47678">
        <w:rPr>
          <w:rFonts w:eastAsia="Times New Roman" w:cstheme="minorHAnsi"/>
          <w:b/>
          <w:color w:val="444242"/>
          <w:sz w:val="24"/>
          <w:szCs w:val="24"/>
          <w:lang w:eastAsia="en-IN"/>
        </w:rPr>
        <w:t>KP Green Engineering IPO Details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67"/>
        <w:gridCol w:w="3435"/>
      </w:tblGrid>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IPO Date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March 15, 2024 to March 19,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Listing Date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Face Value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₹5 per share</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Price Band</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₹137 to ₹144 per share</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Lot Size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1000 Shares</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Total Issue Size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13,160,000 shares</w:t>
            </w:r>
            <w:r w:rsidRPr="003F0151">
              <w:rPr>
                <w:rFonts w:eastAsia="Times New Roman" w:cstheme="minorHAnsi"/>
                <w:sz w:val="24"/>
                <w:szCs w:val="24"/>
                <w:lang w:eastAsia="en-IN"/>
              </w:rPr>
              <w:br/>
              <w:t>(aggregating up to ₹189.50 Cr)</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Fresh Issue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13,160,000 shares</w:t>
            </w:r>
            <w:r w:rsidRPr="003F0151">
              <w:rPr>
                <w:rFonts w:eastAsia="Times New Roman" w:cstheme="minorHAnsi"/>
                <w:sz w:val="24"/>
                <w:szCs w:val="24"/>
                <w:lang w:eastAsia="en-IN"/>
              </w:rPr>
              <w:br/>
              <w:t>(aggregating up to ₹189.50 Cr)</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Issue Type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Book Built Issue IPO</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Listing At</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BSE SME</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F15E27" w:rsidP="00690F3B">
            <w:pPr>
              <w:spacing w:after="0"/>
              <w:rPr>
                <w:rFonts w:eastAsia="Times New Roman" w:cstheme="minorHAnsi"/>
                <w:sz w:val="24"/>
                <w:szCs w:val="24"/>
                <w:lang w:eastAsia="en-IN"/>
              </w:rPr>
            </w:pPr>
            <w:r>
              <w:rPr>
                <w:rFonts w:eastAsia="Times New Roman" w:cstheme="minorHAnsi"/>
                <w:sz w:val="24"/>
                <w:szCs w:val="24"/>
                <w:lang w:eastAsia="en-IN"/>
              </w:rPr>
              <w:t>Shareholding</w:t>
            </w:r>
            <w:r w:rsidR="009211BA" w:rsidRPr="003F0151">
              <w:rPr>
                <w:rFonts w:eastAsia="Times New Roman" w:cstheme="minorHAnsi"/>
                <w:sz w:val="24"/>
                <w:szCs w:val="24"/>
                <w:lang w:eastAsia="en-IN"/>
              </w:rPr>
              <w:t xml:space="preserve"> pre issue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36,840,000</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F15E27" w:rsidP="00690F3B">
            <w:pPr>
              <w:spacing w:after="0"/>
              <w:rPr>
                <w:rFonts w:eastAsia="Times New Roman" w:cstheme="minorHAnsi"/>
                <w:sz w:val="24"/>
                <w:szCs w:val="24"/>
                <w:lang w:eastAsia="en-IN"/>
              </w:rPr>
            </w:pPr>
            <w:r w:rsidRPr="003F0151">
              <w:rPr>
                <w:rFonts w:eastAsia="Times New Roman" w:cstheme="minorHAnsi"/>
                <w:sz w:val="24"/>
                <w:szCs w:val="24"/>
                <w:lang w:eastAsia="en-IN"/>
              </w:rPr>
              <w:t>Shareholding</w:t>
            </w:r>
            <w:r w:rsidR="009211BA" w:rsidRPr="003F0151">
              <w:rPr>
                <w:rFonts w:eastAsia="Times New Roman" w:cstheme="minorHAnsi"/>
                <w:sz w:val="24"/>
                <w:szCs w:val="24"/>
                <w:lang w:eastAsia="en-IN"/>
              </w:rPr>
              <w:t xml:space="preserve"> post issue</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50,000,000</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color w:val="000000" w:themeColor="text1"/>
                <w:sz w:val="24"/>
                <w:szCs w:val="24"/>
                <w:lang w:eastAsia="en-IN"/>
              </w:rPr>
            </w:pPr>
            <w:r w:rsidRPr="003F0151">
              <w:rPr>
                <w:rFonts w:eastAsia="Times New Roman" w:cstheme="minorHAnsi"/>
                <w:color w:val="000000" w:themeColor="text1"/>
                <w:sz w:val="24"/>
                <w:szCs w:val="24"/>
                <w:lang w:eastAsia="en-IN"/>
              </w:rPr>
              <w:t>Market Maker portion</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9211BA" w:rsidRPr="003F0151" w:rsidRDefault="009211BA" w:rsidP="00690F3B">
            <w:pPr>
              <w:spacing w:after="0"/>
              <w:rPr>
                <w:rFonts w:eastAsia="Times New Roman" w:cstheme="minorHAnsi"/>
                <w:color w:val="000000" w:themeColor="text1"/>
                <w:sz w:val="24"/>
                <w:szCs w:val="24"/>
                <w:lang w:eastAsia="en-IN"/>
              </w:rPr>
            </w:pPr>
            <w:r w:rsidRPr="003F0151">
              <w:rPr>
                <w:rFonts w:eastAsia="Times New Roman" w:cstheme="minorHAnsi"/>
                <w:color w:val="000000" w:themeColor="text1"/>
                <w:sz w:val="24"/>
                <w:szCs w:val="24"/>
                <w:lang w:eastAsia="en-IN"/>
              </w:rPr>
              <w:t>658,000 shares</w:t>
            </w:r>
            <w:r w:rsidRPr="003F0151">
              <w:rPr>
                <w:rFonts w:eastAsia="Times New Roman" w:cstheme="minorHAnsi"/>
                <w:color w:val="000000" w:themeColor="text1"/>
                <w:sz w:val="24"/>
                <w:szCs w:val="24"/>
                <w:lang w:eastAsia="en-IN"/>
              </w:rPr>
              <w:br/>
            </w:r>
            <w:hyperlink r:id="rId11" w:tooltip="Spread X Securities Private Limited" w:history="1">
              <w:r w:rsidRPr="009211BA">
                <w:rPr>
                  <w:rFonts w:eastAsia="Times New Roman" w:cstheme="minorHAnsi"/>
                  <w:color w:val="000000" w:themeColor="text1"/>
                  <w:sz w:val="24"/>
                  <w:szCs w:val="24"/>
                  <w:u w:val="single"/>
                  <w:lang w:eastAsia="en-IN"/>
                </w:rPr>
                <w:t>Spread X Securities</w:t>
              </w:r>
            </w:hyperlink>
          </w:p>
        </w:tc>
      </w:tr>
    </w:tbl>
    <w:p w:rsidR="009211BA" w:rsidRPr="004418D5" w:rsidRDefault="009211BA" w:rsidP="00690F3B">
      <w:pPr>
        <w:rPr>
          <w:rFonts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213"/>
        <w:gridCol w:w="2852"/>
      </w:tblGrid>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IPO Open Date</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Friday, March 15,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IPO Close Date</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Tuesday, March 19,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Basis of Allotment</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Wednesday, March 20,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Initiation of Refunds</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Thursday, March 21,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 xml:space="preserve">Credit of Shares to </w:t>
            </w:r>
            <w:proofErr w:type="spellStart"/>
            <w:r w:rsidRPr="003F0151">
              <w:rPr>
                <w:rFonts w:eastAsia="Times New Roman" w:cstheme="minorHAnsi"/>
                <w:sz w:val="24"/>
                <w:szCs w:val="24"/>
                <w:lang w:eastAsia="en-IN"/>
              </w:rPr>
              <w:t>Demat</w:t>
            </w:r>
            <w:proofErr w:type="spellEnd"/>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Thursday, March 21,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Listing Date</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eastAsia="Times New Roman" w:cstheme="minorHAnsi"/>
                <w:sz w:val="24"/>
                <w:szCs w:val="24"/>
                <w:lang w:eastAsia="en-IN"/>
              </w:rPr>
            </w:pPr>
            <w:r w:rsidRPr="003F0151">
              <w:rPr>
                <w:rFonts w:eastAsia="Times New Roman" w:cstheme="minorHAnsi"/>
                <w:sz w:val="24"/>
                <w:szCs w:val="24"/>
                <w:lang w:eastAsia="en-IN"/>
              </w:rPr>
              <w:t>Friday, March 22, 2024</w:t>
            </w:r>
          </w:p>
        </w:tc>
      </w:tr>
      <w:tr w:rsidR="009211BA" w:rsidRPr="003F0151" w:rsidTr="00AF6BD2">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ascii="Times New Roman" w:eastAsia="Times New Roman" w:hAnsi="Times New Roman" w:cs="Times New Roman"/>
                <w:sz w:val="24"/>
                <w:szCs w:val="24"/>
                <w:lang w:eastAsia="en-IN"/>
              </w:rPr>
            </w:pPr>
            <w:r w:rsidRPr="003F0151">
              <w:rPr>
                <w:rFonts w:ascii="Times New Roman" w:eastAsia="Times New Roman" w:hAnsi="Times New Roman" w:cs="Times New Roman"/>
                <w:sz w:val="24"/>
                <w:szCs w:val="24"/>
                <w:lang w:eastAsia="en-IN"/>
              </w:rPr>
              <w:t>Cut-off time for UPI mandate confirmation</w:t>
            </w:r>
          </w:p>
        </w:tc>
        <w:tc>
          <w:tcPr>
            <w:tcW w:w="0" w:type="auto"/>
            <w:tcBorders>
              <w:top w:val="single" w:sz="24" w:space="0" w:color="auto"/>
              <w:left w:val="single" w:sz="24" w:space="0" w:color="auto"/>
              <w:bottom w:val="single" w:sz="24" w:space="0" w:color="auto"/>
              <w:right w:val="single" w:sz="24" w:space="0" w:color="auto"/>
            </w:tcBorders>
            <w:vAlign w:val="center"/>
            <w:hideMark/>
          </w:tcPr>
          <w:p w:rsidR="009211BA" w:rsidRPr="003F0151" w:rsidRDefault="009211BA" w:rsidP="00690F3B">
            <w:pPr>
              <w:spacing w:after="0"/>
              <w:rPr>
                <w:rFonts w:ascii="Times New Roman" w:eastAsia="Times New Roman" w:hAnsi="Times New Roman" w:cs="Times New Roman"/>
                <w:sz w:val="24"/>
                <w:szCs w:val="24"/>
                <w:lang w:eastAsia="en-IN"/>
              </w:rPr>
            </w:pPr>
            <w:r w:rsidRPr="003F0151">
              <w:rPr>
                <w:rFonts w:ascii="Times New Roman" w:eastAsia="Times New Roman" w:hAnsi="Times New Roman" w:cs="Times New Roman"/>
                <w:sz w:val="24"/>
                <w:szCs w:val="24"/>
                <w:lang w:eastAsia="en-IN"/>
              </w:rPr>
              <w:t>5 PM on March 19, 2024</w:t>
            </w:r>
          </w:p>
        </w:tc>
      </w:tr>
    </w:tbl>
    <w:p w:rsidR="009211BA" w:rsidRPr="00E47678" w:rsidRDefault="009211BA" w:rsidP="00690F3B">
      <w:pPr>
        <w:spacing w:after="0"/>
        <w:jc w:val="both"/>
        <w:rPr>
          <w:rFonts w:cstheme="minorHAnsi"/>
          <w:color w:val="0D0D0D"/>
          <w:shd w:val="clear" w:color="auto" w:fill="FFFFFF"/>
        </w:rPr>
      </w:pPr>
    </w:p>
    <w:p w:rsidR="00A25CEC" w:rsidRPr="00E47678" w:rsidRDefault="00A25CEC" w:rsidP="00690F3B">
      <w:pPr>
        <w:spacing w:after="0"/>
        <w:ind w:left="720"/>
        <w:jc w:val="both"/>
        <w:rPr>
          <w:rFonts w:eastAsia="Times New Roman" w:cstheme="minorHAnsi"/>
          <w:color w:val="0E101A"/>
          <w:sz w:val="24"/>
          <w:szCs w:val="24"/>
          <w:lang w:val="en-IN" w:eastAsia="en-IN"/>
        </w:rPr>
      </w:pPr>
      <w:r w:rsidRPr="00E47678">
        <w:rPr>
          <w:rFonts w:eastAsia="Times New Roman" w:cstheme="minorHAnsi"/>
          <w:color w:val="0E101A"/>
          <w:sz w:val="24"/>
          <w:szCs w:val="24"/>
          <w:lang w:val="en-IN" w:eastAsia="en-IN"/>
        </w:rPr>
        <w:t xml:space="preserve">Source: </w:t>
      </w:r>
      <w:hyperlink r:id="rId12" w:history="1">
        <w:r w:rsidRPr="00E47678">
          <w:rPr>
            <w:rStyle w:val="Hyperlink"/>
            <w:rFonts w:eastAsia="Times New Roman" w:cstheme="minorHAnsi"/>
            <w:sz w:val="24"/>
            <w:szCs w:val="24"/>
            <w:lang w:val="en-IN" w:eastAsia="en-IN"/>
          </w:rPr>
          <w:t>https://www.chittorgarh.com/</w:t>
        </w:r>
      </w:hyperlink>
    </w:p>
    <w:p w:rsidR="00A25CEC" w:rsidRPr="00E47678" w:rsidRDefault="00A25CEC" w:rsidP="00690F3B">
      <w:pPr>
        <w:spacing w:after="0"/>
        <w:ind w:left="720"/>
        <w:jc w:val="both"/>
        <w:rPr>
          <w:rFonts w:eastAsia="Times New Roman" w:cstheme="minorHAnsi"/>
          <w:color w:val="0E101A"/>
          <w:sz w:val="24"/>
          <w:szCs w:val="24"/>
          <w:lang w:val="en-IN" w:eastAsia="en-IN"/>
        </w:rPr>
      </w:pPr>
    </w:p>
    <w:p w:rsidR="00FD445A" w:rsidRPr="00690F3B" w:rsidRDefault="009211BA" w:rsidP="00690F3B">
      <w:pPr>
        <w:numPr>
          <w:ilvl w:val="0"/>
          <w:numId w:val="16"/>
        </w:numPr>
        <w:spacing w:after="0"/>
        <w:jc w:val="both"/>
        <w:rPr>
          <w:rFonts w:eastAsia="Times New Roman" w:cstheme="minorHAnsi"/>
          <w:color w:val="0E101A"/>
          <w:sz w:val="24"/>
          <w:szCs w:val="24"/>
          <w:lang w:val="en-IN" w:eastAsia="en-IN"/>
        </w:rPr>
      </w:pPr>
      <w:proofErr w:type="spellStart"/>
      <w:r w:rsidRPr="009211BA">
        <w:rPr>
          <w:rFonts w:eastAsia="Times New Roman" w:cstheme="minorHAnsi"/>
          <w:b/>
          <w:i/>
          <w:color w:val="0E101A"/>
          <w:sz w:val="24"/>
          <w:szCs w:val="24"/>
          <w:lang w:val="en-IN" w:eastAsia="en-IN"/>
        </w:rPr>
        <w:lastRenderedPageBreak/>
        <w:t>Analyzing</w:t>
      </w:r>
      <w:proofErr w:type="spellEnd"/>
      <w:r w:rsidRPr="009211BA">
        <w:rPr>
          <w:rFonts w:eastAsia="Times New Roman" w:cstheme="minorHAnsi"/>
          <w:color w:val="0E101A"/>
          <w:sz w:val="24"/>
          <w:szCs w:val="24"/>
          <w:lang w:val="en-IN" w:eastAsia="en-IN"/>
        </w:rPr>
        <w:t xml:space="preserve"> the KP Green Engineering IPO from the perspective of stock exchange listing, what are the portions allocated to Qualified Institutional Buyers (QIBs), Non-Institutional Investors (NIIs), and Retail Individual Investors (RIIs)? </w:t>
      </w:r>
      <w:r w:rsidR="00A25CEC" w:rsidRPr="007C78B7">
        <w:rPr>
          <w:rFonts w:eastAsia="Times New Roman" w:cstheme="minorHAnsi"/>
          <w:color w:val="0E101A"/>
          <w:sz w:val="24"/>
          <w:szCs w:val="24"/>
          <w:lang w:val="en-IN" w:eastAsia="en-IN"/>
        </w:rPr>
        <w:tab/>
      </w:r>
      <w:r w:rsidR="00A25CEC" w:rsidRPr="007C78B7">
        <w:rPr>
          <w:rFonts w:eastAsia="Times New Roman" w:cstheme="minorHAnsi"/>
          <w:color w:val="0E101A"/>
          <w:sz w:val="24"/>
          <w:szCs w:val="24"/>
          <w:lang w:val="en-IN" w:eastAsia="en-IN"/>
        </w:rPr>
        <w:tab/>
      </w:r>
      <w:r w:rsidR="00A25CEC" w:rsidRPr="007C78B7">
        <w:rPr>
          <w:rFonts w:eastAsia="Times New Roman" w:cstheme="minorHAnsi"/>
          <w:color w:val="0E101A"/>
          <w:sz w:val="24"/>
          <w:szCs w:val="24"/>
          <w:lang w:val="en-IN" w:eastAsia="en-IN"/>
        </w:rPr>
        <w:tab/>
      </w:r>
      <w:r w:rsidR="00690F3B">
        <w:rPr>
          <w:rFonts w:eastAsia="Times New Roman" w:cstheme="minorHAnsi"/>
          <w:color w:val="0E101A"/>
          <w:sz w:val="24"/>
          <w:szCs w:val="24"/>
          <w:lang w:val="en-IN" w:eastAsia="en-IN"/>
        </w:rPr>
        <w:tab/>
      </w:r>
      <w:r w:rsidR="00690F3B">
        <w:rPr>
          <w:rFonts w:eastAsia="Times New Roman" w:cstheme="minorHAnsi"/>
          <w:color w:val="0E101A"/>
          <w:sz w:val="24"/>
          <w:szCs w:val="24"/>
          <w:lang w:val="en-IN" w:eastAsia="en-IN"/>
        </w:rPr>
        <w:tab/>
      </w:r>
      <w:r w:rsidR="00690F3B">
        <w:rPr>
          <w:rFonts w:eastAsia="Times New Roman" w:cstheme="minorHAnsi"/>
          <w:color w:val="0E101A"/>
          <w:sz w:val="24"/>
          <w:szCs w:val="24"/>
          <w:lang w:val="en-IN" w:eastAsia="en-IN"/>
        </w:rPr>
        <w:tab/>
        <w:t xml:space="preserve"> </w:t>
      </w:r>
      <w:r w:rsidR="00A25CEC" w:rsidRPr="00690F3B">
        <w:rPr>
          <w:rFonts w:eastAsia="Times New Roman" w:cstheme="minorHAnsi"/>
          <w:b/>
          <w:color w:val="0E101A"/>
          <w:sz w:val="24"/>
          <w:szCs w:val="24"/>
          <w:lang w:val="en-IN" w:eastAsia="en-IN"/>
        </w:rPr>
        <w:t>(3 marks)</w:t>
      </w:r>
    </w:p>
    <w:p w:rsidR="00690F3B" w:rsidRPr="007C78B7" w:rsidRDefault="00690F3B" w:rsidP="00690F3B">
      <w:pPr>
        <w:spacing w:after="0"/>
        <w:ind w:left="720"/>
        <w:jc w:val="both"/>
        <w:rPr>
          <w:rFonts w:eastAsia="Times New Roman" w:cstheme="minorHAnsi"/>
          <w:color w:val="0E101A"/>
          <w:sz w:val="24"/>
          <w:szCs w:val="24"/>
          <w:lang w:val="en-IN" w:eastAsia="en-IN"/>
        </w:rPr>
      </w:pPr>
    </w:p>
    <w:p w:rsidR="00FD445A" w:rsidRPr="00690F3B" w:rsidRDefault="00A25CEC" w:rsidP="00690F3B">
      <w:pPr>
        <w:numPr>
          <w:ilvl w:val="0"/>
          <w:numId w:val="16"/>
        </w:numPr>
        <w:spacing w:after="0"/>
        <w:jc w:val="both"/>
        <w:rPr>
          <w:rFonts w:eastAsia="Times New Roman" w:cstheme="minorHAnsi"/>
          <w:color w:val="0E101A"/>
          <w:sz w:val="24"/>
          <w:szCs w:val="24"/>
          <w:lang w:val="en-IN" w:eastAsia="en-IN"/>
        </w:rPr>
      </w:pPr>
      <w:r w:rsidRPr="007C78B7">
        <w:rPr>
          <w:rFonts w:eastAsia="Times New Roman" w:cstheme="minorHAnsi"/>
          <w:b/>
          <w:i/>
          <w:color w:val="0E101A"/>
          <w:sz w:val="24"/>
          <w:szCs w:val="24"/>
          <w:lang w:val="en-IN" w:eastAsia="en-IN"/>
        </w:rPr>
        <w:t>Examine</w:t>
      </w:r>
      <w:r w:rsidR="009211BA" w:rsidRPr="009211BA">
        <w:rPr>
          <w:rFonts w:eastAsia="Times New Roman" w:cstheme="minorHAnsi"/>
          <w:color w:val="0E101A"/>
          <w:sz w:val="24"/>
          <w:szCs w:val="24"/>
          <w:lang w:val="en-IN" w:eastAsia="en-IN"/>
        </w:rPr>
        <w:t xml:space="preserve"> the impact of grey market premium</w:t>
      </w:r>
      <w:r w:rsidRPr="007C78B7">
        <w:rPr>
          <w:rFonts w:eastAsia="Times New Roman" w:cstheme="minorHAnsi"/>
          <w:color w:val="0E101A"/>
          <w:sz w:val="24"/>
          <w:szCs w:val="24"/>
          <w:lang w:val="en-IN" w:eastAsia="en-IN"/>
        </w:rPr>
        <w:t xml:space="preserve"> (GMP)</w:t>
      </w:r>
      <w:r w:rsidR="009211BA" w:rsidRPr="009211BA">
        <w:rPr>
          <w:rFonts w:eastAsia="Times New Roman" w:cstheme="minorHAnsi"/>
          <w:color w:val="0E101A"/>
          <w:sz w:val="24"/>
          <w:szCs w:val="24"/>
          <w:lang w:val="en-IN" w:eastAsia="en-IN"/>
        </w:rPr>
        <w:t xml:space="preserve"> on the listing price of the KP Green Engineering IPO. </w:t>
      </w:r>
      <w:r w:rsidRPr="007C78B7">
        <w:rPr>
          <w:rFonts w:eastAsia="Times New Roman" w:cstheme="minorHAnsi"/>
          <w:color w:val="0E101A"/>
          <w:sz w:val="24"/>
          <w:szCs w:val="24"/>
          <w:lang w:val="en-IN" w:eastAsia="en-IN"/>
        </w:rPr>
        <w:t>Infer</w:t>
      </w:r>
      <w:r w:rsidR="009211BA" w:rsidRPr="009211BA">
        <w:rPr>
          <w:rFonts w:eastAsia="Times New Roman" w:cstheme="minorHAnsi"/>
          <w:color w:val="0E101A"/>
          <w:sz w:val="24"/>
          <w:szCs w:val="24"/>
          <w:lang w:val="en-IN" w:eastAsia="en-IN"/>
        </w:rPr>
        <w:t xml:space="preserve"> how </w:t>
      </w:r>
      <w:r w:rsidRPr="007C78B7">
        <w:rPr>
          <w:rFonts w:eastAsia="Times New Roman" w:cstheme="minorHAnsi"/>
          <w:color w:val="0E101A"/>
          <w:sz w:val="24"/>
          <w:szCs w:val="24"/>
          <w:lang w:val="en-IN" w:eastAsia="en-IN"/>
        </w:rPr>
        <w:t>GMP</w:t>
      </w:r>
      <w:r w:rsidR="009211BA" w:rsidRPr="009211BA">
        <w:rPr>
          <w:rFonts w:eastAsia="Times New Roman" w:cstheme="minorHAnsi"/>
          <w:color w:val="0E101A"/>
          <w:sz w:val="24"/>
          <w:szCs w:val="24"/>
          <w:lang w:val="en-IN" w:eastAsia="en-IN"/>
        </w:rPr>
        <w:t xml:space="preserve"> influences investor sentiment and demand for IPO shares. Furthermore, </w:t>
      </w:r>
      <w:r w:rsidRPr="007C78B7">
        <w:rPr>
          <w:rFonts w:eastAsia="Times New Roman" w:cstheme="minorHAnsi"/>
          <w:b/>
          <w:i/>
          <w:color w:val="0E101A"/>
          <w:sz w:val="24"/>
          <w:szCs w:val="24"/>
          <w:lang w:val="en-IN" w:eastAsia="en-IN"/>
        </w:rPr>
        <w:t>test for</w:t>
      </w:r>
      <w:r w:rsidR="009211BA" w:rsidRPr="009211BA">
        <w:rPr>
          <w:rFonts w:eastAsia="Times New Roman" w:cstheme="minorHAnsi"/>
          <w:color w:val="0E101A"/>
          <w:sz w:val="24"/>
          <w:szCs w:val="24"/>
          <w:lang w:val="en-IN" w:eastAsia="en-IN"/>
        </w:rPr>
        <w:t xml:space="preserve"> the implications of a high or low grey market premium on the aftermarket trading performance of the IPO.</w:t>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00690F3B">
        <w:rPr>
          <w:rFonts w:eastAsia="Times New Roman" w:cstheme="minorHAnsi"/>
          <w:color w:val="0E101A"/>
          <w:sz w:val="24"/>
          <w:szCs w:val="24"/>
          <w:lang w:val="en-IN" w:eastAsia="en-IN"/>
        </w:rPr>
        <w:tab/>
        <w:t xml:space="preserve"> </w:t>
      </w:r>
      <w:r w:rsidRPr="00690F3B">
        <w:rPr>
          <w:rFonts w:eastAsia="Times New Roman" w:cstheme="minorHAnsi"/>
          <w:b/>
          <w:color w:val="0E101A"/>
          <w:sz w:val="24"/>
          <w:szCs w:val="24"/>
          <w:lang w:val="en-IN" w:eastAsia="en-IN"/>
        </w:rPr>
        <w:t>(3 marks)</w:t>
      </w:r>
    </w:p>
    <w:p w:rsidR="00690F3B" w:rsidRPr="007C78B7" w:rsidRDefault="00690F3B" w:rsidP="00690F3B">
      <w:pPr>
        <w:spacing w:after="0"/>
        <w:jc w:val="both"/>
        <w:rPr>
          <w:rFonts w:eastAsia="Times New Roman" w:cstheme="minorHAnsi"/>
          <w:color w:val="0E101A"/>
          <w:sz w:val="24"/>
          <w:szCs w:val="24"/>
          <w:lang w:val="en-IN" w:eastAsia="en-IN"/>
        </w:rPr>
      </w:pPr>
    </w:p>
    <w:p w:rsidR="009211BA" w:rsidRPr="009211BA" w:rsidRDefault="00A25CEC" w:rsidP="00690F3B">
      <w:pPr>
        <w:numPr>
          <w:ilvl w:val="0"/>
          <w:numId w:val="16"/>
        </w:numPr>
        <w:spacing w:after="0"/>
        <w:jc w:val="both"/>
        <w:rPr>
          <w:rFonts w:eastAsia="Times New Roman" w:cstheme="minorHAnsi"/>
          <w:color w:val="0E101A"/>
          <w:sz w:val="24"/>
          <w:szCs w:val="24"/>
          <w:lang w:val="en-IN" w:eastAsia="en-IN"/>
        </w:rPr>
      </w:pPr>
      <w:r w:rsidRPr="007C78B7">
        <w:rPr>
          <w:rFonts w:eastAsia="Times New Roman" w:cstheme="minorHAnsi"/>
          <w:b/>
          <w:i/>
          <w:color w:val="0E101A"/>
          <w:sz w:val="24"/>
          <w:szCs w:val="24"/>
          <w:lang w:val="en-IN" w:eastAsia="en-IN"/>
        </w:rPr>
        <w:t>Inspect</w:t>
      </w:r>
      <w:r w:rsidRPr="007C78B7">
        <w:rPr>
          <w:rFonts w:eastAsia="Times New Roman" w:cstheme="minorHAnsi"/>
          <w:color w:val="0E101A"/>
          <w:sz w:val="24"/>
          <w:szCs w:val="24"/>
          <w:lang w:val="en-IN" w:eastAsia="en-IN"/>
        </w:rPr>
        <w:t xml:space="preserve"> </w:t>
      </w:r>
      <w:r w:rsidR="009211BA" w:rsidRPr="009211BA">
        <w:rPr>
          <w:rFonts w:eastAsia="Times New Roman" w:cstheme="minorHAnsi"/>
          <w:color w:val="0E101A"/>
          <w:sz w:val="24"/>
          <w:szCs w:val="24"/>
          <w:lang w:val="en-IN" w:eastAsia="en-IN"/>
        </w:rPr>
        <w:t>the role of anchor investors</w:t>
      </w:r>
      <w:r w:rsidR="00FD445A" w:rsidRPr="007C78B7">
        <w:rPr>
          <w:rFonts w:eastAsia="Times New Roman" w:cstheme="minorHAnsi"/>
          <w:color w:val="0E101A"/>
          <w:sz w:val="24"/>
          <w:szCs w:val="24"/>
          <w:lang w:val="en-IN" w:eastAsia="en-IN"/>
        </w:rPr>
        <w:t xml:space="preserve"> and market makers</w:t>
      </w:r>
      <w:r w:rsidR="009211BA" w:rsidRPr="009211BA">
        <w:rPr>
          <w:rFonts w:eastAsia="Times New Roman" w:cstheme="minorHAnsi"/>
          <w:color w:val="0E101A"/>
          <w:sz w:val="24"/>
          <w:szCs w:val="24"/>
          <w:lang w:val="en-IN" w:eastAsia="en-IN"/>
        </w:rPr>
        <w:t xml:space="preserve"> in an IPO such as KP Green Engineering Limited. Di</w:t>
      </w:r>
      <w:r w:rsidRPr="007C78B7">
        <w:rPr>
          <w:rFonts w:eastAsia="Times New Roman" w:cstheme="minorHAnsi"/>
          <w:color w:val="0E101A"/>
          <w:sz w:val="24"/>
          <w:szCs w:val="24"/>
          <w:lang w:val="en-IN" w:eastAsia="en-IN"/>
        </w:rPr>
        <w:t>ssect</w:t>
      </w:r>
      <w:r w:rsidR="009211BA" w:rsidRPr="009211BA">
        <w:rPr>
          <w:rFonts w:eastAsia="Times New Roman" w:cstheme="minorHAnsi"/>
          <w:color w:val="0E101A"/>
          <w:sz w:val="24"/>
          <w:szCs w:val="24"/>
          <w:lang w:val="en-IN" w:eastAsia="en-IN"/>
        </w:rPr>
        <w:t xml:space="preserve"> how anchor investors</w:t>
      </w:r>
      <w:r w:rsidRPr="007C78B7">
        <w:rPr>
          <w:rFonts w:eastAsia="Times New Roman" w:cstheme="minorHAnsi"/>
          <w:color w:val="0E101A"/>
          <w:sz w:val="24"/>
          <w:szCs w:val="24"/>
          <w:lang w:val="en-IN" w:eastAsia="en-IN"/>
        </w:rPr>
        <w:t xml:space="preserve"> and market makers </w:t>
      </w:r>
      <w:r w:rsidR="009211BA" w:rsidRPr="009211BA">
        <w:rPr>
          <w:rFonts w:eastAsia="Times New Roman" w:cstheme="minorHAnsi"/>
          <w:color w:val="0E101A"/>
          <w:sz w:val="24"/>
          <w:szCs w:val="24"/>
          <w:lang w:val="en-IN" w:eastAsia="en-IN"/>
        </w:rPr>
        <w:t>contribute to the success of the IPO, their significance in providing credibility and stability to the offering, and the potential benefits they bring to both the issuer and other investors participating in the IPO.</w:t>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Pr="007C78B7">
        <w:rPr>
          <w:rFonts w:eastAsia="Times New Roman" w:cstheme="minorHAnsi"/>
          <w:color w:val="0E101A"/>
          <w:sz w:val="24"/>
          <w:szCs w:val="24"/>
          <w:lang w:val="en-IN" w:eastAsia="en-IN"/>
        </w:rPr>
        <w:tab/>
      </w:r>
      <w:r w:rsidR="00690F3B">
        <w:rPr>
          <w:rFonts w:eastAsia="Times New Roman" w:cstheme="minorHAnsi"/>
          <w:color w:val="0E101A"/>
          <w:sz w:val="24"/>
          <w:szCs w:val="24"/>
          <w:lang w:val="en-IN" w:eastAsia="en-IN"/>
        </w:rPr>
        <w:tab/>
      </w:r>
      <w:r w:rsidR="00690F3B">
        <w:rPr>
          <w:rFonts w:eastAsia="Times New Roman" w:cstheme="minorHAnsi"/>
          <w:color w:val="0E101A"/>
          <w:sz w:val="24"/>
          <w:szCs w:val="24"/>
          <w:lang w:val="en-IN" w:eastAsia="en-IN"/>
        </w:rPr>
        <w:tab/>
        <w:t xml:space="preserve"> </w:t>
      </w:r>
      <w:r w:rsidRPr="00690F3B">
        <w:rPr>
          <w:rFonts w:eastAsia="Times New Roman" w:cstheme="minorHAnsi"/>
          <w:b/>
          <w:color w:val="0E101A"/>
          <w:sz w:val="24"/>
          <w:szCs w:val="24"/>
          <w:lang w:val="en-IN" w:eastAsia="en-IN"/>
        </w:rPr>
        <w:t>(</w:t>
      </w:r>
      <w:r w:rsidR="007C78B7" w:rsidRPr="00690F3B">
        <w:rPr>
          <w:rFonts w:eastAsia="Times New Roman" w:cstheme="minorHAnsi"/>
          <w:b/>
          <w:color w:val="0E101A"/>
          <w:sz w:val="24"/>
          <w:szCs w:val="24"/>
          <w:lang w:val="en-IN" w:eastAsia="en-IN"/>
        </w:rPr>
        <w:t>4</w:t>
      </w:r>
      <w:r w:rsidRPr="00690F3B">
        <w:rPr>
          <w:rFonts w:eastAsia="Times New Roman" w:cstheme="minorHAnsi"/>
          <w:b/>
          <w:color w:val="0E101A"/>
          <w:sz w:val="24"/>
          <w:szCs w:val="24"/>
          <w:lang w:val="en-IN" w:eastAsia="en-IN"/>
        </w:rPr>
        <w:t xml:space="preserve"> marks)</w:t>
      </w:r>
    </w:p>
    <w:p w:rsidR="009211BA" w:rsidRPr="007C78B7" w:rsidRDefault="009211BA" w:rsidP="00690F3B">
      <w:pPr>
        <w:spacing w:after="0"/>
        <w:jc w:val="both"/>
        <w:rPr>
          <w:rFonts w:cstheme="minorHAnsi"/>
          <w:color w:val="0D0D0D"/>
          <w:shd w:val="clear" w:color="auto" w:fill="FFFFFF"/>
        </w:rPr>
      </w:pPr>
    </w:p>
    <w:p w:rsidR="00E553AF" w:rsidRPr="00690F3B" w:rsidRDefault="006A7206" w:rsidP="00690F3B">
      <w:pPr>
        <w:spacing w:after="0"/>
        <w:jc w:val="both"/>
        <w:rPr>
          <w:rFonts w:eastAsia="Times New Roman" w:cstheme="minorHAnsi"/>
          <w:color w:val="0E101A"/>
          <w:sz w:val="24"/>
          <w:szCs w:val="24"/>
          <w:lang w:val="en-IN" w:eastAsia="en-IN"/>
        </w:rPr>
      </w:pPr>
      <w:r w:rsidRPr="00690F3B">
        <w:rPr>
          <w:rFonts w:cstheme="minorHAnsi"/>
          <w:b/>
          <w:color w:val="0D0D0D"/>
          <w:sz w:val="24"/>
          <w:szCs w:val="24"/>
          <w:shd w:val="clear" w:color="auto" w:fill="FFFFFF"/>
        </w:rPr>
        <w:t>Q</w:t>
      </w:r>
      <w:r w:rsidR="00626963" w:rsidRPr="00690F3B">
        <w:rPr>
          <w:rFonts w:cstheme="minorHAnsi"/>
          <w:b/>
          <w:color w:val="0D0D0D"/>
          <w:sz w:val="24"/>
          <w:szCs w:val="24"/>
          <w:shd w:val="clear" w:color="auto" w:fill="FFFFFF"/>
        </w:rPr>
        <w:t>4</w:t>
      </w:r>
      <w:r w:rsidR="00690F3B" w:rsidRPr="00690F3B">
        <w:rPr>
          <w:rFonts w:cstheme="minorHAnsi"/>
          <w:b/>
          <w:color w:val="0D0D0D"/>
          <w:sz w:val="24"/>
          <w:szCs w:val="24"/>
          <w:shd w:val="clear" w:color="auto" w:fill="FFFFFF"/>
        </w:rPr>
        <w:t>.</w:t>
      </w:r>
      <w:r w:rsidR="00626963" w:rsidRPr="00690F3B">
        <w:rPr>
          <w:rFonts w:cstheme="minorHAnsi"/>
          <w:b/>
          <w:color w:val="0D0D0D"/>
          <w:sz w:val="24"/>
          <w:szCs w:val="24"/>
          <w:shd w:val="clear" w:color="auto" w:fill="FFFFFF"/>
        </w:rPr>
        <w:t xml:space="preserve"> </w:t>
      </w:r>
      <w:r w:rsidR="00C90779" w:rsidRPr="007C78B7">
        <w:rPr>
          <w:rFonts w:eastAsia="Times New Roman" w:cstheme="minorHAnsi"/>
          <w:color w:val="0E101A"/>
          <w:sz w:val="24"/>
          <w:szCs w:val="24"/>
          <w:lang w:val="en-IN" w:eastAsia="en-IN"/>
        </w:rPr>
        <w:t xml:space="preserve">As an investment banker advising Ishaan Ventures Ltd., outline a strategic plan for the company to execute a </w:t>
      </w:r>
      <w:r w:rsidR="0009700C">
        <w:rPr>
          <w:rFonts w:eastAsia="Times New Roman" w:cstheme="minorHAnsi"/>
          <w:color w:val="0E101A"/>
          <w:sz w:val="24"/>
          <w:szCs w:val="24"/>
          <w:lang w:val="en-IN" w:eastAsia="en-IN"/>
        </w:rPr>
        <w:t xml:space="preserve">proposed </w:t>
      </w:r>
      <w:r w:rsidR="00C90779" w:rsidRPr="007C78B7">
        <w:rPr>
          <w:rFonts w:eastAsia="Times New Roman" w:cstheme="minorHAnsi"/>
          <w:color w:val="0E101A"/>
          <w:sz w:val="24"/>
          <w:szCs w:val="24"/>
          <w:lang w:val="en-IN" w:eastAsia="en-IN"/>
        </w:rPr>
        <w:t>share buyback</w:t>
      </w:r>
      <w:r w:rsidR="0009700C">
        <w:rPr>
          <w:rFonts w:eastAsia="Times New Roman" w:cstheme="minorHAnsi"/>
          <w:color w:val="0E101A"/>
          <w:sz w:val="24"/>
          <w:szCs w:val="24"/>
          <w:lang w:val="en-IN" w:eastAsia="en-IN"/>
        </w:rPr>
        <w:t xml:space="preserve"> of 25%</w:t>
      </w:r>
      <w:r w:rsidR="00C90779" w:rsidRPr="007C78B7">
        <w:rPr>
          <w:rFonts w:eastAsia="Times New Roman" w:cstheme="minorHAnsi"/>
          <w:color w:val="0E101A"/>
          <w:sz w:val="24"/>
          <w:szCs w:val="24"/>
          <w:lang w:val="en-IN" w:eastAsia="en-IN"/>
        </w:rPr>
        <w:t xml:space="preserve"> to maximise shareholder value while ensuring financial stability. </w:t>
      </w:r>
      <w:r w:rsidR="004F419F" w:rsidRPr="007C78B7">
        <w:rPr>
          <w:rFonts w:eastAsia="Times New Roman" w:cstheme="minorHAnsi"/>
          <w:color w:val="0E101A"/>
          <w:sz w:val="24"/>
          <w:szCs w:val="24"/>
          <w:lang w:val="en-IN" w:eastAsia="en-IN"/>
        </w:rPr>
        <w:t>Ishaan Ventures Ltd</w:t>
      </w:r>
      <w:r w:rsidR="004F419F">
        <w:rPr>
          <w:rFonts w:eastAsia="Times New Roman" w:cstheme="minorHAnsi"/>
          <w:color w:val="0E101A"/>
          <w:sz w:val="24"/>
          <w:szCs w:val="24"/>
          <w:lang w:val="en-IN" w:eastAsia="en-IN"/>
        </w:rPr>
        <w:t xml:space="preserve"> has </w:t>
      </w:r>
      <w:r w:rsidR="00C90779" w:rsidRPr="007C78B7">
        <w:rPr>
          <w:rFonts w:eastAsia="Times New Roman" w:cstheme="minorHAnsi"/>
          <w:color w:val="0E101A"/>
          <w:sz w:val="24"/>
          <w:szCs w:val="24"/>
          <w:lang w:val="en-IN" w:eastAsia="en-IN"/>
        </w:rPr>
        <w:t xml:space="preserve">a substantial cash position, a Price/Earnings (P/E) multiple of 6, and a Return on Net Worth (RONW) of 12%, and considering a current share price of </w:t>
      </w:r>
      <w:proofErr w:type="spellStart"/>
      <w:r w:rsidR="00C90779" w:rsidRPr="007C78B7">
        <w:rPr>
          <w:rFonts w:eastAsia="Times New Roman" w:cstheme="minorHAnsi"/>
          <w:color w:val="0E101A"/>
          <w:sz w:val="24"/>
          <w:szCs w:val="24"/>
          <w:lang w:val="en-IN" w:eastAsia="en-IN"/>
        </w:rPr>
        <w:t>Rs</w:t>
      </w:r>
      <w:proofErr w:type="spellEnd"/>
      <w:r w:rsidR="00C90779" w:rsidRPr="007C78B7">
        <w:rPr>
          <w:rFonts w:eastAsia="Times New Roman" w:cstheme="minorHAnsi"/>
          <w:color w:val="0E101A"/>
          <w:sz w:val="24"/>
          <w:szCs w:val="24"/>
          <w:lang w:val="en-IN" w:eastAsia="en-IN"/>
        </w:rPr>
        <w:t xml:space="preserve">. 233/- on the BSE, a pre-issue capital of 20,00,000 shares, a net worth of </w:t>
      </w:r>
      <w:proofErr w:type="spellStart"/>
      <w:r w:rsidR="00C90779" w:rsidRPr="007C78B7">
        <w:rPr>
          <w:rFonts w:eastAsia="Times New Roman" w:cstheme="minorHAnsi"/>
          <w:color w:val="0E101A"/>
          <w:sz w:val="24"/>
          <w:szCs w:val="24"/>
          <w:lang w:val="en-IN" w:eastAsia="en-IN"/>
        </w:rPr>
        <w:t>Rs</w:t>
      </w:r>
      <w:proofErr w:type="spellEnd"/>
      <w:r w:rsidR="00C90779" w:rsidRPr="007C78B7">
        <w:rPr>
          <w:rFonts w:eastAsia="Times New Roman" w:cstheme="minorHAnsi"/>
          <w:color w:val="0E101A"/>
          <w:sz w:val="24"/>
          <w:szCs w:val="24"/>
          <w:lang w:val="en-IN" w:eastAsia="en-IN"/>
        </w:rPr>
        <w:t>. 4.5 crores</w:t>
      </w:r>
      <w:r w:rsidR="0009700C">
        <w:rPr>
          <w:rFonts w:eastAsia="Times New Roman" w:cstheme="minorHAnsi"/>
          <w:color w:val="0E101A"/>
          <w:sz w:val="24"/>
          <w:szCs w:val="24"/>
          <w:lang w:val="en-IN" w:eastAsia="en-IN"/>
        </w:rPr>
        <w:t xml:space="preserve"> and debt equity ratio of 1.33</w:t>
      </w:r>
      <w:r w:rsidR="00C90779" w:rsidRPr="007C78B7">
        <w:rPr>
          <w:rFonts w:eastAsia="Times New Roman" w:cstheme="minorHAnsi"/>
          <w:color w:val="0E101A"/>
          <w:sz w:val="24"/>
          <w:szCs w:val="24"/>
          <w:lang w:val="en-IN" w:eastAsia="en-IN"/>
        </w:rPr>
        <w:t>.</w:t>
      </w:r>
      <w:r w:rsidR="00690F3B">
        <w:rPr>
          <w:rFonts w:eastAsia="Times New Roman" w:cstheme="minorHAnsi"/>
          <w:color w:val="0E101A"/>
          <w:sz w:val="24"/>
          <w:szCs w:val="24"/>
          <w:lang w:val="en-IN" w:eastAsia="en-IN"/>
        </w:rPr>
        <w:t xml:space="preserve"> </w:t>
      </w:r>
      <w:r w:rsidR="00E65360" w:rsidRPr="00E65360">
        <w:rPr>
          <w:rFonts w:eastAsia="Times New Roman" w:cstheme="minorHAnsi"/>
          <w:b/>
          <w:i/>
          <w:color w:val="0E101A"/>
          <w:sz w:val="24"/>
          <w:szCs w:val="24"/>
          <w:lang w:val="en-IN" w:eastAsia="en-IN"/>
        </w:rPr>
        <w:t>Deduce</w:t>
      </w:r>
      <w:r w:rsidR="00E65360">
        <w:rPr>
          <w:rFonts w:eastAsia="Times New Roman" w:cstheme="minorHAnsi"/>
          <w:color w:val="0E101A"/>
          <w:sz w:val="24"/>
          <w:szCs w:val="24"/>
          <w:lang w:val="en-IN" w:eastAsia="en-IN"/>
        </w:rPr>
        <w:t xml:space="preserve"> the feasibility of the capital </w:t>
      </w:r>
      <w:r w:rsidR="0012285C">
        <w:rPr>
          <w:rFonts w:eastAsia="Times New Roman" w:cstheme="minorHAnsi"/>
          <w:color w:val="0E101A"/>
          <w:sz w:val="24"/>
          <w:szCs w:val="24"/>
          <w:lang w:val="en-IN" w:eastAsia="en-IN"/>
        </w:rPr>
        <w:t xml:space="preserve">reduction and </w:t>
      </w:r>
      <w:r w:rsidR="0012285C" w:rsidRPr="0012285C">
        <w:rPr>
          <w:rFonts w:eastAsia="Times New Roman" w:cstheme="minorHAnsi"/>
          <w:b/>
          <w:i/>
          <w:color w:val="0E101A"/>
          <w:sz w:val="24"/>
          <w:szCs w:val="24"/>
          <w:lang w:val="en-IN" w:eastAsia="en-IN"/>
        </w:rPr>
        <w:t>appraise</w:t>
      </w:r>
      <w:r w:rsidR="0012285C">
        <w:rPr>
          <w:rFonts w:eastAsia="Times New Roman" w:cstheme="minorHAnsi"/>
          <w:color w:val="0E101A"/>
          <w:sz w:val="24"/>
          <w:szCs w:val="24"/>
          <w:lang w:val="en-IN" w:eastAsia="en-IN"/>
        </w:rPr>
        <w:t xml:space="preserve"> the</w:t>
      </w:r>
      <w:r w:rsidR="00E65360">
        <w:rPr>
          <w:rFonts w:eastAsia="Times New Roman" w:cstheme="minorHAnsi"/>
          <w:color w:val="0E101A"/>
          <w:sz w:val="24"/>
          <w:szCs w:val="24"/>
          <w:lang w:val="en-IN" w:eastAsia="en-IN"/>
        </w:rPr>
        <w:t xml:space="preserve"> buyback price and number of shares that the company can buy back.</w:t>
      </w:r>
      <w:r w:rsidR="00477C64" w:rsidRPr="007C78B7">
        <w:rPr>
          <w:rFonts w:ascii="Times New Roman" w:eastAsia="Times New Roman" w:hAnsi="Times New Roman" w:cs="Times New Roman"/>
          <w:color w:val="0E101A"/>
          <w:sz w:val="24"/>
          <w:szCs w:val="24"/>
          <w:lang w:val="en-IN" w:eastAsia="en-IN"/>
        </w:rPr>
        <w:tab/>
      </w:r>
      <w:r w:rsidR="00477C64" w:rsidRPr="007C78B7">
        <w:rPr>
          <w:rFonts w:ascii="Times New Roman" w:eastAsia="Times New Roman" w:hAnsi="Times New Roman" w:cs="Times New Roman"/>
          <w:color w:val="0E101A"/>
          <w:sz w:val="24"/>
          <w:szCs w:val="24"/>
          <w:lang w:val="en-IN" w:eastAsia="en-IN"/>
        </w:rPr>
        <w:tab/>
      </w:r>
      <w:r w:rsidR="00477C64" w:rsidRPr="007C78B7">
        <w:rPr>
          <w:rFonts w:ascii="Times New Roman" w:eastAsia="Times New Roman" w:hAnsi="Times New Roman" w:cs="Times New Roman"/>
          <w:color w:val="0E101A"/>
          <w:sz w:val="24"/>
          <w:szCs w:val="24"/>
          <w:lang w:val="en-IN" w:eastAsia="en-IN"/>
        </w:rPr>
        <w:tab/>
      </w:r>
      <w:r w:rsidR="00477C64" w:rsidRPr="007C78B7">
        <w:rPr>
          <w:rFonts w:ascii="Times New Roman" w:eastAsia="Times New Roman" w:hAnsi="Times New Roman" w:cs="Times New Roman"/>
          <w:color w:val="0E101A"/>
          <w:sz w:val="24"/>
          <w:szCs w:val="24"/>
          <w:lang w:val="en-IN" w:eastAsia="en-IN"/>
        </w:rPr>
        <w:tab/>
      </w:r>
      <w:r w:rsidR="004F419F">
        <w:rPr>
          <w:rFonts w:ascii="Times New Roman" w:eastAsia="Times New Roman" w:hAnsi="Times New Roman" w:cs="Times New Roman"/>
          <w:color w:val="0E101A"/>
          <w:sz w:val="24"/>
          <w:szCs w:val="24"/>
          <w:lang w:val="en-IN" w:eastAsia="en-IN"/>
        </w:rPr>
        <w:tab/>
      </w:r>
      <w:r w:rsidR="004F419F">
        <w:rPr>
          <w:rFonts w:ascii="Times New Roman" w:eastAsia="Times New Roman" w:hAnsi="Times New Roman" w:cs="Times New Roman"/>
          <w:color w:val="0E101A"/>
          <w:sz w:val="24"/>
          <w:szCs w:val="24"/>
          <w:lang w:val="en-IN" w:eastAsia="en-IN"/>
        </w:rPr>
        <w:tab/>
      </w:r>
      <w:r w:rsidR="004F419F">
        <w:rPr>
          <w:rFonts w:ascii="Times New Roman" w:eastAsia="Times New Roman" w:hAnsi="Times New Roman" w:cs="Times New Roman"/>
          <w:color w:val="0E101A"/>
          <w:sz w:val="24"/>
          <w:szCs w:val="24"/>
          <w:lang w:val="en-IN" w:eastAsia="en-IN"/>
        </w:rPr>
        <w:tab/>
        <w:t xml:space="preserve"> </w:t>
      </w:r>
      <w:r w:rsidR="004F419F" w:rsidRPr="00690F3B">
        <w:rPr>
          <w:rFonts w:eastAsia="Times New Roman" w:cstheme="minorHAnsi"/>
          <w:b/>
          <w:color w:val="0E101A"/>
          <w:sz w:val="24"/>
          <w:szCs w:val="24"/>
          <w:lang w:val="en-IN" w:eastAsia="en-IN"/>
        </w:rPr>
        <w:t>(</w:t>
      </w:r>
      <w:r w:rsidR="004F419F">
        <w:rPr>
          <w:rFonts w:eastAsia="Times New Roman" w:cstheme="minorHAnsi"/>
          <w:b/>
          <w:color w:val="0E101A"/>
          <w:sz w:val="24"/>
          <w:szCs w:val="24"/>
          <w:lang w:val="en-IN" w:eastAsia="en-IN"/>
        </w:rPr>
        <w:t>6</w:t>
      </w:r>
      <w:r w:rsidR="004F419F" w:rsidRPr="00690F3B">
        <w:rPr>
          <w:rFonts w:eastAsia="Times New Roman" w:cstheme="minorHAnsi"/>
          <w:b/>
          <w:color w:val="0E101A"/>
          <w:sz w:val="24"/>
          <w:szCs w:val="24"/>
          <w:lang w:val="en-IN" w:eastAsia="en-IN"/>
        </w:rPr>
        <w:t xml:space="preserve"> marks)</w:t>
      </w:r>
    </w:p>
    <w:p w:rsidR="00C90779" w:rsidRPr="004F419F" w:rsidRDefault="00C90779" w:rsidP="00690F3B">
      <w:pPr>
        <w:spacing w:after="0"/>
        <w:jc w:val="both"/>
        <w:rPr>
          <w:rFonts w:ascii="Segoe UI" w:hAnsi="Segoe UI" w:cs="Segoe UI"/>
          <w:color w:val="0D0D0D"/>
          <w:sz w:val="18"/>
          <w:shd w:val="clear" w:color="auto" w:fill="FFFFFF"/>
        </w:rPr>
      </w:pPr>
    </w:p>
    <w:p w:rsidR="008B674A" w:rsidRPr="00690F3B" w:rsidRDefault="00D12FBB" w:rsidP="00690F3B">
      <w:pPr>
        <w:spacing w:after="0"/>
        <w:jc w:val="both"/>
        <w:rPr>
          <w:rFonts w:eastAsia="Times New Roman" w:cstheme="minorHAnsi"/>
          <w:color w:val="0E101A"/>
          <w:sz w:val="24"/>
          <w:szCs w:val="24"/>
          <w:lang w:val="en-IN" w:eastAsia="en-IN"/>
        </w:rPr>
      </w:pPr>
      <w:r w:rsidRPr="00690F3B">
        <w:rPr>
          <w:rFonts w:ascii="Segoe UI" w:hAnsi="Segoe UI" w:cs="Segoe UI"/>
          <w:b/>
          <w:color w:val="0D0D0D"/>
          <w:shd w:val="clear" w:color="auto" w:fill="FFFFFF"/>
        </w:rPr>
        <w:t>Q5</w:t>
      </w:r>
      <w:r w:rsidR="00690F3B">
        <w:rPr>
          <w:rFonts w:ascii="Segoe UI" w:hAnsi="Segoe UI" w:cs="Segoe UI"/>
          <w:color w:val="0D0D0D"/>
          <w:shd w:val="clear" w:color="auto" w:fill="FFFFFF"/>
        </w:rPr>
        <w:t>.</w:t>
      </w:r>
      <w:r w:rsidR="00690F3B" w:rsidRPr="004F419F">
        <w:rPr>
          <w:rFonts w:eastAsia="Times New Roman" w:cstheme="minorHAnsi"/>
          <w:b/>
          <w:color w:val="0E101A"/>
          <w:sz w:val="24"/>
          <w:szCs w:val="24"/>
          <w:lang w:val="en-IN" w:eastAsia="en-IN"/>
        </w:rPr>
        <w:t xml:space="preserve"> A.</w:t>
      </w:r>
      <w:r w:rsidR="00690F3B">
        <w:rPr>
          <w:rFonts w:eastAsia="Times New Roman" w:cstheme="minorHAnsi"/>
          <w:color w:val="0E101A"/>
          <w:sz w:val="24"/>
          <w:szCs w:val="24"/>
          <w:lang w:val="en-IN" w:eastAsia="en-IN"/>
        </w:rPr>
        <w:t xml:space="preserve"> </w:t>
      </w:r>
      <w:r w:rsidR="008B674A" w:rsidRPr="00F15E27">
        <w:rPr>
          <w:rFonts w:eastAsia="Times New Roman" w:cstheme="minorHAnsi"/>
          <w:color w:val="0E101A"/>
          <w:sz w:val="24"/>
          <w:szCs w:val="24"/>
          <w:lang w:val="en-IN" w:eastAsia="en-IN"/>
        </w:rPr>
        <w:t xml:space="preserve">Swan Chemicals Ltd.  Is acquiring Pearl Chemicals Ltd. Swan </w:t>
      </w:r>
      <w:r w:rsidR="00E47678">
        <w:rPr>
          <w:rFonts w:eastAsia="Times New Roman" w:cstheme="minorHAnsi"/>
          <w:color w:val="0E101A"/>
          <w:sz w:val="24"/>
          <w:szCs w:val="24"/>
          <w:lang w:val="en-IN" w:eastAsia="en-IN"/>
        </w:rPr>
        <w:t>Chemicals</w:t>
      </w:r>
      <w:r w:rsidR="008B674A" w:rsidRPr="00F15E27">
        <w:rPr>
          <w:rFonts w:eastAsia="Times New Roman" w:cstheme="minorHAnsi"/>
          <w:color w:val="0E101A"/>
          <w:sz w:val="24"/>
          <w:szCs w:val="24"/>
          <w:lang w:val="en-IN" w:eastAsia="en-IN"/>
        </w:rPr>
        <w:t xml:space="preserve"> will pay 0.5 of its shares to the shareholders of Pearl Chemicals for each share held by them. The data for the two companies are given below</w:t>
      </w:r>
      <w:r w:rsidR="00E47678">
        <w:rPr>
          <w:rFonts w:eastAsia="Times New Roman" w:cstheme="minorHAnsi"/>
          <w:color w:val="0E101A"/>
          <w:sz w:val="24"/>
          <w:szCs w:val="24"/>
          <w:lang w:val="en-IN" w:eastAsia="en-IN"/>
        </w:rPr>
        <w:t>:</w:t>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r>
      <w:r w:rsidR="004F419F">
        <w:rPr>
          <w:rFonts w:eastAsia="Times New Roman" w:cstheme="minorHAnsi"/>
          <w:color w:val="0E101A"/>
          <w:sz w:val="24"/>
          <w:szCs w:val="24"/>
          <w:lang w:val="en-IN" w:eastAsia="en-IN"/>
        </w:rPr>
        <w:tab/>
        <w:t xml:space="preserve">                           </w:t>
      </w:r>
      <w:r w:rsidR="004F419F" w:rsidRPr="00690F3B">
        <w:rPr>
          <w:rFonts w:eastAsia="Times New Roman" w:cstheme="minorHAnsi"/>
          <w:b/>
          <w:color w:val="0E101A"/>
          <w:sz w:val="24"/>
          <w:szCs w:val="24"/>
          <w:lang w:val="en-IN" w:eastAsia="en-IN"/>
        </w:rPr>
        <w:t>(</w:t>
      </w:r>
      <w:r w:rsidR="004F419F">
        <w:rPr>
          <w:rFonts w:eastAsia="Times New Roman" w:cstheme="minorHAnsi"/>
          <w:b/>
          <w:color w:val="0E101A"/>
          <w:sz w:val="24"/>
          <w:szCs w:val="24"/>
          <w:lang w:val="en-IN" w:eastAsia="en-IN"/>
        </w:rPr>
        <w:t>7</w:t>
      </w:r>
      <w:r w:rsidR="004F419F" w:rsidRPr="00690F3B">
        <w:rPr>
          <w:rFonts w:eastAsia="Times New Roman" w:cstheme="minorHAnsi"/>
          <w:b/>
          <w:color w:val="0E101A"/>
          <w:sz w:val="24"/>
          <w:szCs w:val="24"/>
          <w:lang w:val="en-IN" w:eastAsia="en-IN"/>
        </w:rPr>
        <w:t xml:space="preserve"> marks)</w:t>
      </w:r>
    </w:p>
    <w:tbl>
      <w:tblPr>
        <w:tblStyle w:val="TableGrid"/>
        <w:tblW w:w="0" w:type="auto"/>
        <w:tblInd w:w="720" w:type="dxa"/>
        <w:tblLook w:val="04A0" w:firstRow="1" w:lastRow="0" w:firstColumn="1" w:lastColumn="0" w:noHBand="0" w:noVBand="1"/>
      </w:tblPr>
      <w:tblGrid>
        <w:gridCol w:w="2959"/>
        <w:gridCol w:w="2975"/>
        <w:gridCol w:w="2975"/>
      </w:tblGrid>
      <w:tr w:rsidR="008B674A" w:rsidTr="009C6D89">
        <w:tc>
          <w:tcPr>
            <w:tcW w:w="3116" w:type="dxa"/>
            <w:shd w:val="clear" w:color="auto" w:fill="D9D9D9" w:themeFill="background1" w:themeFillShade="D9"/>
          </w:tcPr>
          <w:p w:rsidR="008B674A" w:rsidRDefault="008B674A" w:rsidP="00690F3B">
            <w:pPr>
              <w:pStyle w:val="ListParagraph"/>
              <w:spacing w:after="0"/>
              <w:ind w:left="0"/>
              <w:jc w:val="center"/>
              <w:rPr>
                <w:rFonts w:eastAsia="Times New Roman" w:cstheme="minorHAnsi"/>
                <w:color w:val="0E101A"/>
                <w:sz w:val="24"/>
                <w:szCs w:val="24"/>
                <w:lang w:val="en-IN" w:eastAsia="en-IN"/>
              </w:rPr>
            </w:pPr>
          </w:p>
        </w:tc>
        <w:tc>
          <w:tcPr>
            <w:tcW w:w="3117" w:type="dxa"/>
            <w:shd w:val="clear" w:color="auto" w:fill="D9D9D9" w:themeFill="background1" w:themeFillShade="D9"/>
          </w:tcPr>
          <w:p w:rsidR="008B674A" w:rsidRDefault="008B674A"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Swan Chemicals Ltd.</w:t>
            </w:r>
          </w:p>
        </w:tc>
        <w:tc>
          <w:tcPr>
            <w:tcW w:w="3117" w:type="dxa"/>
            <w:shd w:val="clear" w:color="auto" w:fill="D9D9D9" w:themeFill="background1" w:themeFillShade="D9"/>
          </w:tcPr>
          <w:p w:rsidR="008B674A" w:rsidRDefault="008B674A"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Pearl Chemicals Ltd.</w:t>
            </w:r>
          </w:p>
        </w:tc>
      </w:tr>
      <w:tr w:rsidR="008B674A" w:rsidTr="008B674A">
        <w:tc>
          <w:tcPr>
            <w:tcW w:w="3116" w:type="dxa"/>
          </w:tcPr>
          <w:p w:rsidR="008B674A" w:rsidRDefault="008B674A"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PAT (</w:t>
            </w:r>
            <w:proofErr w:type="spellStart"/>
            <w:r w:rsidR="009C6D89">
              <w:rPr>
                <w:rFonts w:eastAsia="Times New Roman" w:cstheme="minorHAnsi"/>
                <w:color w:val="0E101A"/>
                <w:sz w:val="24"/>
                <w:szCs w:val="24"/>
                <w:lang w:val="en-IN" w:eastAsia="en-IN"/>
              </w:rPr>
              <w:t>Rs</w:t>
            </w:r>
            <w:proofErr w:type="spellEnd"/>
            <w:r w:rsidR="009C6D89">
              <w:rPr>
                <w:rFonts w:eastAsia="Times New Roman" w:cstheme="minorHAnsi"/>
                <w:color w:val="0E101A"/>
                <w:sz w:val="24"/>
                <w:szCs w:val="24"/>
                <w:lang w:val="en-IN" w:eastAsia="en-IN"/>
              </w:rPr>
              <w:t>. Lakhs)</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150</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30</w:t>
            </w:r>
          </w:p>
        </w:tc>
      </w:tr>
      <w:tr w:rsidR="008B674A" w:rsidTr="008B674A">
        <w:tc>
          <w:tcPr>
            <w:tcW w:w="3116"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Number of shares (Lakhs)</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25</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8</w:t>
            </w:r>
          </w:p>
        </w:tc>
      </w:tr>
      <w:tr w:rsidR="008B674A" w:rsidTr="008B674A">
        <w:tc>
          <w:tcPr>
            <w:tcW w:w="3116"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EPS (</w:t>
            </w:r>
            <w:proofErr w:type="spellStart"/>
            <w:r>
              <w:rPr>
                <w:rFonts w:eastAsia="Times New Roman" w:cstheme="minorHAnsi"/>
                <w:color w:val="0E101A"/>
                <w:sz w:val="24"/>
                <w:szCs w:val="24"/>
                <w:lang w:val="en-IN" w:eastAsia="en-IN"/>
              </w:rPr>
              <w:t>Rs</w:t>
            </w:r>
            <w:proofErr w:type="spellEnd"/>
            <w:r>
              <w:rPr>
                <w:rFonts w:eastAsia="Times New Roman" w:cstheme="minorHAnsi"/>
                <w:color w:val="0E101A"/>
                <w:sz w:val="24"/>
                <w:szCs w:val="24"/>
                <w:lang w:val="en-IN" w:eastAsia="en-IN"/>
              </w:rPr>
              <w:t>.)</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6</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3.75</w:t>
            </w:r>
          </w:p>
        </w:tc>
      </w:tr>
      <w:tr w:rsidR="008B674A" w:rsidTr="008B674A">
        <w:tc>
          <w:tcPr>
            <w:tcW w:w="3116"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CMP (</w:t>
            </w:r>
            <w:proofErr w:type="spellStart"/>
            <w:r>
              <w:rPr>
                <w:rFonts w:eastAsia="Times New Roman" w:cstheme="minorHAnsi"/>
                <w:color w:val="0E101A"/>
                <w:sz w:val="24"/>
                <w:szCs w:val="24"/>
                <w:lang w:val="en-IN" w:eastAsia="en-IN"/>
              </w:rPr>
              <w:t>Rs</w:t>
            </w:r>
            <w:proofErr w:type="spellEnd"/>
            <w:r>
              <w:rPr>
                <w:rFonts w:eastAsia="Times New Roman" w:cstheme="minorHAnsi"/>
                <w:color w:val="0E101A"/>
                <w:sz w:val="24"/>
                <w:szCs w:val="24"/>
                <w:lang w:val="en-IN" w:eastAsia="en-IN"/>
              </w:rPr>
              <w:t>.)</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78</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33.75</w:t>
            </w:r>
          </w:p>
        </w:tc>
      </w:tr>
      <w:tr w:rsidR="008B674A" w:rsidTr="008B674A">
        <w:tc>
          <w:tcPr>
            <w:tcW w:w="3116"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P/E ratio</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13</w:t>
            </w:r>
          </w:p>
        </w:tc>
        <w:tc>
          <w:tcPr>
            <w:tcW w:w="3117" w:type="dxa"/>
          </w:tcPr>
          <w:p w:rsidR="008B674A" w:rsidRDefault="009C6D89" w:rsidP="00690F3B">
            <w:pPr>
              <w:pStyle w:val="ListParagraph"/>
              <w:spacing w:after="0"/>
              <w:ind w:left="0"/>
              <w:jc w:val="center"/>
              <w:rPr>
                <w:rFonts w:eastAsia="Times New Roman" w:cstheme="minorHAnsi"/>
                <w:color w:val="0E101A"/>
                <w:sz w:val="24"/>
                <w:szCs w:val="24"/>
                <w:lang w:val="en-IN" w:eastAsia="en-IN"/>
              </w:rPr>
            </w:pPr>
            <w:r>
              <w:rPr>
                <w:rFonts w:eastAsia="Times New Roman" w:cstheme="minorHAnsi"/>
                <w:color w:val="0E101A"/>
                <w:sz w:val="24"/>
                <w:szCs w:val="24"/>
                <w:lang w:val="en-IN" w:eastAsia="en-IN"/>
              </w:rPr>
              <w:t>9</w:t>
            </w:r>
          </w:p>
        </w:tc>
      </w:tr>
    </w:tbl>
    <w:p w:rsidR="005A6136" w:rsidRPr="009C6D89" w:rsidRDefault="004F419F" w:rsidP="00690F3B">
      <w:pPr>
        <w:jc w:val="both"/>
        <w:rPr>
          <w:rFonts w:eastAsia="Times New Roman" w:cstheme="minorHAnsi"/>
          <w:sz w:val="24"/>
          <w:szCs w:val="24"/>
        </w:rPr>
      </w:pPr>
      <w:r>
        <w:rPr>
          <w:rFonts w:eastAsia="Times New Roman" w:cstheme="minorHAnsi"/>
          <w:sz w:val="24"/>
          <w:szCs w:val="24"/>
        </w:rPr>
        <w:t>A</w:t>
      </w:r>
      <w:r w:rsidR="00F15E27">
        <w:rPr>
          <w:rFonts w:eastAsia="Times New Roman" w:cstheme="minorHAnsi"/>
          <w:sz w:val="24"/>
          <w:szCs w:val="24"/>
        </w:rPr>
        <w:t xml:space="preserve">.1 </w:t>
      </w:r>
      <w:r w:rsidR="00F15E27" w:rsidRPr="00F15E27">
        <w:rPr>
          <w:rFonts w:eastAsia="Times New Roman" w:cstheme="minorHAnsi"/>
          <w:b/>
          <w:i/>
          <w:sz w:val="24"/>
          <w:szCs w:val="24"/>
        </w:rPr>
        <w:t>Determine</w:t>
      </w:r>
      <w:r w:rsidR="009C6D89" w:rsidRPr="009C6D89">
        <w:rPr>
          <w:rFonts w:eastAsia="Times New Roman" w:cstheme="minorHAnsi"/>
          <w:sz w:val="24"/>
          <w:szCs w:val="24"/>
        </w:rPr>
        <w:t xml:space="preserve"> the EPS of the surviving firm after the merger</w:t>
      </w:r>
      <w:r w:rsidR="009C6D89">
        <w:rPr>
          <w:rFonts w:eastAsia="Times New Roman" w:cstheme="minorHAnsi"/>
          <w:sz w:val="24"/>
          <w:szCs w:val="24"/>
        </w:rPr>
        <w:tab/>
      </w:r>
      <w:r w:rsidR="009C6D89">
        <w:rPr>
          <w:rFonts w:eastAsia="Times New Roman" w:cstheme="minorHAnsi"/>
          <w:sz w:val="24"/>
          <w:szCs w:val="24"/>
        </w:rPr>
        <w:tab/>
      </w:r>
      <w:r w:rsidR="00690F3B">
        <w:rPr>
          <w:rFonts w:eastAsia="Times New Roman" w:cstheme="minorHAnsi"/>
          <w:sz w:val="24"/>
          <w:szCs w:val="24"/>
        </w:rPr>
        <w:tab/>
      </w:r>
      <w:r w:rsidR="00690F3B">
        <w:rPr>
          <w:rFonts w:eastAsia="Times New Roman" w:cstheme="minorHAnsi"/>
          <w:sz w:val="24"/>
          <w:szCs w:val="24"/>
        </w:rPr>
        <w:tab/>
        <w:t xml:space="preserve"> </w:t>
      </w:r>
      <w:r w:rsidR="009C6D89" w:rsidRPr="00690F3B">
        <w:rPr>
          <w:rFonts w:eastAsia="Times New Roman" w:cstheme="minorHAnsi"/>
          <w:b/>
          <w:sz w:val="24"/>
          <w:szCs w:val="24"/>
        </w:rPr>
        <w:t>(3 marks)</w:t>
      </w:r>
    </w:p>
    <w:p w:rsidR="009C6D89" w:rsidRDefault="004F419F" w:rsidP="00690F3B">
      <w:pPr>
        <w:jc w:val="both"/>
        <w:rPr>
          <w:rFonts w:eastAsia="Times New Roman" w:cstheme="minorHAnsi"/>
          <w:sz w:val="24"/>
          <w:szCs w:val="24"/>
        </w:rPr>
      </w:pPr>
      <w:r>
        <w:rPr>
          <w:rFonts w:eastAsia="Times New Roman" w:cstheme="minorHAnsi"/>
          <w:sz w:val="24"/>
          <w:szCs w:val="24"/>
        </w:rPr>
        <w:t>A</w:t>
      </w:r>
      <w:bookmarkStart w:id="0" w:name="_GoBack"/>
      <w:bookmarkEnd w:id="0"/>
      <w:r w:rsidR="00F15E27">
        <w:rPr>
          <w:rFonts w:eastAsia="Times New Roman" w:cstheme="minorHAnsi"/>
          <w:sz w:val="24"/>
          <w:szCs w:val="24"/>
        </w:rPr>
        <w:t xml:space="preserve">.2 </w:t>
      </w:r>
      <w:r w:rsidR="009C6D89">
        <w:rPr>
          <w:rFonts w:eastAsia="Times New Roman" w:cstheme="minorHAnsi"/>
          <w:sz w:val="24"/>
          <w:szCs w:val="24"/>
        </w:rPr>
        <w:t xml:space="preserve">If the P/E ratio falls to 12 after the </w:t>
      </w:r>
      <w:r w:rsidR="00F15E27">
        <w:rPr>
          <w:rFonts w:eastAsia="Times New Roman" w:cstheme="minorHAnsi"/>
          <w:sz w:val="24"/>
          <w:szCs w:val="24"/>
        </w:rPr>
        <w:t xml:space="preserve">merger, </w:t>
      </w:r>
      <w:r w:rsidR="00F15E27">
        <w:rPr>
          <w:rFonts w:eastAsia="Times New Roman" w:cstheme="minorHAnsi"/>
          <w:b/>
          <w:i/>
          <w:sz w:val="24"/>
          <w:szCs w:val="24"/>
        </w:rPr>
        <w:t>C</w:t>
      </w:r>
      <w:r w:rsidR="00F15E27" w:rsidRPr="00F15E27">
        <w:rPr>
          <w:rFonts w:eastAsia="Times New Roman" w:cstheme="minorHAnsi"/>
          <w:b/>
          <w:i/>
          <w:sz w:val="24"/>
          <w:szCs w:val="24"/>
        </w:rPr>
        <w:t>ompare</w:t>
      </w:r>
      <w:r w:rsidR="00F15E27">
        <w:rPr>
          <w:rFonts w:eastAsia="Times New Roman" w:cstheme="minorHAnsi"/>
          <w:sz w:val="24"/>
          <w:szCs w:val="24"/>
        </w:rPr>
        <w:t xml:space="preserve"> the benefits of the </w:t>
      </w:r>
      <w:r w:rsidR="009C6D89">
        <w:rPr>
          <w:rFonts w:eastAsia="Times New Roman" w:cstheme="minorHAnsi"/>
          <w:sz w:val="24"/>
          <w:szCs w:val="24"/>
        </w:rPr>
        <w:t xml:space="preserve">merger </w:t>
      </w:r>
      <w:r w:rsidR="00F15E27">
        <w:rPr>
          <w:rFonts w:eastAsia="Times New Roman" w:cstheme="minorHAnsi"/>
          <w:sz w:val="24"/>
          <w:szCs w:val="24"/>
        </w:rPr>
        <w:t>of</w:t>
      </w:r>
      <w:r w:rsidR="009C6D89">
        <w:rPr>
          <w:rFonts w:eastAsia="Times New Roman" w:cstheme="minorHAnsi"/>
          <w:sz w:val="24"/>
          <w:szCs w:val="24"/>
        </w:rPr>
        <w:t xml:space="preserve"> Swan Chemicals </w:t>
      </w:r>
      <w:r w:rsidR="00F15E27">
        <w:rPr>
          <w:rFonts w:eastAsia="Times New Roman" w:cstheme="minorHAnsi"/>
          <w:sz w:val="24"/>
          <w:szCs w:val="24"/>
        </w:rPr>
        <w:t>and</w:t>
      </w:r>
      <w:r w:rsidR="009C6D89">
        <w:rPr>
          <w:rFonts w:eastAsia="Times New Roman" w:cstheme="minorHAnsi"/>
          <w:sz w:val="24"/>
          <w:szCs w:val="24"/>
        </w:rPr>
        <w:t xml:space="preserve"> Pearl Chemicals</w:t>
      </w:r>
      <w:r w:rsidR="00F15E27">
        <w:rPr>
          <w:rFonts w:eastAsia="Times New Roman" w:cstheme="minorHAnsi"/>
          <w:sz w:val="24"/>
          <w:szCs w:val="24"/>
        </w:rPr>
        <w:t xml:space="preserve"> in terms of the share prices</w:t>
      </w:r>
      <w:r w:rsidR="00E47678">
        <w:rPr>
          <w:rFonts w:eastAsia="Times New Roman" w:cstheme="minorHAnsi"/>
          <w:sz w:val="24"/>
          <w:szCs w:val="24"/>
        </w:rPr>
        <w:t>.</w:t>
      </w:r>
      <w:r w:rsidR="009C6D89">
        <w:rPr>
          <w:rFonts w:eastAsia="Times New Roman" w:cstheme="minorHAnsi"/>
          <w:sz w:val="24"/>
          <w:szCs w:val="24"/>
        </w:rPr>
        <w:tab/>
      </w:r>
      <w:r w:rsidR="009C6D89">
        <w:rPr>
          <w:rFonts w:eastAsia="Times New Roman" w:cstheme="minorHAnsi"/>
          <w:sz w:val="24"/>
          <w:szCs w:val="24"/>
        </w:rPr>
        <w:tab/>
      </w:r>
      <w:r w:rsidR="00690F3B">
        <w:rPr>
          <w:rFonts w:eastAsia="Times New Roman" w:cstheme="minorHAnsi"/>
          <w:sz w:val="24"/>
          <w:szCs w:val="24"/>
        </w:rPr>
        <w:tab/>
      </w:r>
      <w:r w:rsidR="00690F3B">
        <w:rPr>
          <w:rFonts w:eastAsia="Times New Roman" w:cstheme="minorHAnsi"/>
          <w:sz w:val="24"/>
          <w:szCs w:val="24"/>
        </w:rPr>
        <w:tab/>
        <w:t xml:space="preserve"> </w:t>
      </w:r>
      <w:r w:rsidR="009C6D89" w:rsidRPr="00690F3B">
        <w:rPr>
          <w:rFonts w:eastAsia="Times New Roman" w:cstheme="minorHAnsi"/>
          <w:b/>
          <w:sz w:val="24"/>
          <w:szCs w:val="24"/>
        </w:rPr>
        <w:t>(</w:t>
      </w:r>
      <w:r w:rsidR="00F15E27" w:rsidRPr="00690F3B">
        <w:rPr>
          <w:rFonts w:eastAsia="Times New Roman" w:cstheme="minorHAnsi"/>
          <w:b/>
          <w:sz w:val="24"/>
          <w:szCs w:val="24"/>
        </w:rPr>
        <w:t>4</w:t>
      </w:r>
      <w:r w:rsidR="009C6D89" w:rsidRPr="00690F3B">
        <w:rPr>
          <w:rFonts w:eastAsia="Times New Roman" w:cstheme="minorHAnsi"/>
          <w:b/>
          <w:sz w:val="24"/>
          <w:szCs w:val="24"/>
        </w:rPr>
        <w:t xml:space="preserve"> Marks)</w:t>
      </w:r>
    </w:p>
    <w:p w:rsidR="00E47678" w:rsidRPr="00F15E27" w:rsidRDefault="00690F3B" w:rsidP="00690F3B">
      <w:pPr>
        <w:jc w:val="both"/>
        <w:rPr>
          <w:rFonts w:eastAsia="Times New Roman" w:cstheme="minorHAnsi"/>
          <w:sz w:val="24"/>
          <w:szCs w:val="24"/>
        </w:rPr>
      </w:pPr>
      <w:r w:rsidRPr="004F419F">
        <w:rPr>
          <w:rFonts w:eastAsia="Times New Roman" w:cstheme="minorHAnsi"/>
          <w:b/>
          <w:sz w:val="24"/>
          <w:szCs w:val="24"/>
        </w:rPr>
        <w:t>B</w:t>
      </w:r>
      <w:r w:rsidR="00F15E27" w:rsidRPr="004F419F">
        <w:rPr>
          <w:rFonts w:eastAsia="Times New Roman" w:cstheme="minorHAnsi"/>
          <w:b/>
          <w:sz w:val="24"/>
          <w:szCs w:val="24"/>
        </w:rPr>
        <w:t>.</w:t>
      </w:r>
      <w:r w:rsidR="00F15E27">
        <w:rPr>
          <w:rFonts w:eastAsia="Times New Roman" w:cstheme="minorHAnsi"/>
          <w:sz w:val="24"/>
          <w:szCs w:val="24"/>
        </w:rPr>
        <w:t xml:space="preserve"> </w:t>
      </w:r>
      <w:r w:rsidR="00F15E27" w:rsidRPr="00F15E27">
        <w:rPr>
          <w:rFonts w:eastAsia="Times New Roman" w:cstheme="minorHAnsi"/>
          <w:sz w:val="24"/>
          <w:szCs w:val="24"/>
        </w:rPr>
        <w:t xml:space="preserve">Value unlocking is pivotal in demerger deals, driving strategic outcomes and enhancing shareholder wealth. </w:t>
      </w:r>
      <w:r w:rsidR="00F15E27" w:rsidRPr="00F15E27">
        <w:rPr>
          <w:rFonts w:eastAsia="Times New Roman" w:cstheme="minorHAnsi"/>
          <w:b/>
          <w:i/>
          <w:sz w:val="24"/>
          <w:szCs w:val="24"/>
        </w:rPr>
        <w:t>De</w:t>
      </w:r>
      <w:r w:rsidR="00E84156">
        <w:rPr>
          <w:rFonts w:eastAsia="Times New Roman" w:cstheme="minorHAnsi"/>
          <w:b/>
          <w:i/>
          <w:sz w:val="24"/>
          <w:szCs w:val="24"/>
        </w:rPr>
        <w:t>duct</w:t>
      </w:r>
      <w:r w:rsidR="00F15E27" w:rsidRPr="00F15E27">
        <w:rPr>
          <w:rFonts w:eastAsia="Times New Roman" w:cstheme="minorHAnsi"/>
          <w:sz w:val="24"/>
          <w:szCs w:val="24"/>
        </w:rPr>
        <w:t xml:space="preserve"> the significance of value unlocking in demerger transactions, elucidating its impact on corporate strategy, financial performance, and stakeholder interests with the help of an example.</w:t>
      </w:r>
      <w:r w:rsidR="00F15E27">
        <w:rPr>
          <w:rFonts w:eastAsia="Times New Roman" w:cstheme="minorHAnsi"/>
          <w:sz w:val="24"/>
          <w:szCs w:val="24"/>
        </w:rPr>
        <w:tab/>
      </w:r>
      <w:r w:rsidR="00F15E27">
        <w:rPr>
          <w:rFonts w:eastAsia="Times New Roman" w:cstheme="minorHAnsi"/>
          <w:sz w:val="24"/>
          <w:szCs w:val="24"/>
        </w:rPr>
        <w:tab/>
      </w:r>
      <w:r w:rsidR="00F15E27">
        <w:rPr>
          <w:rFonts w:eastAsia="Times New Roman" w:cstheme="minorHAnsi"/>
          <w:sz w:val="24"/>
          <w:szCs w:val="24"/>
        </w:rPr>
        <w:tab/>
      </w:r>
      <w:r w:rsidR="00F15E27">
        <w:rPr>
          <w:rFonts w:eastAsia="Times New Roman" w:cstheme="minorHAnsi"/>
          <w:sz w:val="24"/>
          <w:szCs w:val="24"/>
        </w:rPr>
        <w:tab/>
      </w:r>
      <w:r w:rsidR="00F15E27">
        <w:rPr>
          <w:rFonts w:eastAsia="Times New Roman" w:cstheme="minorHAnsi"/>
          <w:sz w:val="24"/>
          <w:szCs w:val="24"/>
        </w:rPr>
        <w:tab/>
      </w:r>
      <w:r w:rsidR="00F15E27">
        <w:rPr>
          <w:rFonts w:eastAsia="Times New Roman" w:cstheme="minorHAnsi"/>
          <w:sz w:val="24"/>
          <w:szCs w:val="24"/>
        </w:rPr>
        <w:tab/>
      </w:r>
      <w:r w:rsidR="00E47678">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00F15E27" w:rsidRPr="00690F3B">
        <w:rPr>
          <w:rFonts w:eastAsia="Times New Roman" w:cstheme="minorHAnsi"/>
          <w:b/>
          <w:sz w:val="24"/>
          <w:szCs w:val="24"/>
        </w:rPr>
        <w:t>(4 Marks)</w:t>
      </w:r>
    </w:p>
    <w:sectPr w:rsidR="00E47678" w:rsidRPr="00F15E27" w:rsidSect="006D5031">
      <w:headerReference w:type="default" r:id="rId13"/>
      <w:footerReference w:type="default" r:id="rId14"/>
      <w:pgSz w:w="11906" w:h="16838" w:code="9"/>
      <w:pgMar w:top="1440" w:right="991" w:bottom="1440" w:left="1276"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44" w:rsidRDefault="00340B44" w:rsidP="00565F93">
      <w:pPr>
        <w:spacing w:after="0" w:line="240" w:lineRule="auto"/>
      </w:pPr>
      <w:r>
        <w:separator/>
      </w:r>
    </w:p>
  </w:endnote>
  <w:endnote w:type="continuationSeparator" w:id="0">
    <w:p w:rsidR="00340B44" w:rsidRDefault="00340B44"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321058"/>
      <w:docPartObj>
        <w:docPartGallery w:val="Page Numbers (Bottom of Page)"/>
        <w:docPartUnique/>
      </w:docPartObj>
    </w:sdtPr>
    <w:sdtEndPr>
      <w:rPr>
        <w:noProof/>
      </w:rPr>
    </w:sdtEndPr>
    <w:sdtContent>
      <w:p w:rsidR="00E47678" w:rsidRDefault="00E47678">
        <w:pPr>
          <w:pStyle w:val="Footer"/>
          <w:jc w:val="center"/>
        </w:pPr>
        <w:r>
          <w:fldChar w:fldCharType="begin"/>
        </w:r>
        <w:r>
          <w:instrText xml:space="preserve"> PAGE   \* MERGEFORMAT </w:instrText>
        </w:r>
        <w:r>
          <w:fldChar w:fldCharType="separate"/>
        </w:r>
        <w:r w:rsidR="004F419F">
          <w:rPr>
            <w:noProof/>
          </w:rPr>
          <w:t>3</w:t>
        </w:r>
        <w:r>
          <w:rPr>
            <w:noProof/>
          </w:rPr>
          <w:fldChar w:fldCharType="end"/>
        </w:r>
      </w:p>
    </w:sdtContent>
  </w:sdt>
  <w:p w:rsidR="00B66085" w:rsidRDefault="00B660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44" w:rsidRDefault="00340B44" w:rsidP="00565F93">
      <w:pPr>
        <w:spacing w:after="0" w:line="240" w:lineRule="auto"/>
      </w:pPr>
      <w:r>
        <w:separator/>
      </w:r>
    </w:p>
  </w:footnote>
  <w:footnote w:type="continuationSeparator" w:id="0">
    <w:p w:rsidR="00340B44" w:rsidRDefault="00340B44"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85" w:rsidRDefault="00B66085" w:rsidP="00BB291F">
    <w:pPr>
      <w:pStyle w:val="Header"/>
    </w:pPr>
    <w:r>
      <w:t xml:space="preserve">                                                                                                                                                 </w:t>
    </w:r>
  </w:p>
  <w:p w:rsidR="00B66085" w:rsidRPr="00903A58" w:rsidRDefault="00B6608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15E7"/>
    <w:multiLevelType w:val="hybridMultilevel"/>
    <w:tmpl w:val="4FEEE438"/>
    <w:lvl w:ilvl="0" w:tplc="84B23CB4">
      <w:start w:val="1"/>
      <w:numFmt w:val="lowerLetter"/>
      <w:lvlText w:val="%1."/>
      <w:lvlJc w:val="left"/>
      <w:pPr>
        <w:ind w:left="720" w:hanging="360"/>
      </w:pPr>
      <w:rPr>
        <w:rFonts w:ascii="Segoe UI" w:eastAsiaTheme="minorEastAsia" w:hAnsi="Segoe UI" w:cs="Segoe UI" w:hint="default"/>
        <w:color w:val="0D0D0D"/>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174E77"/>
    <w:multiLevelType w:val="hybridMultilevel"/>
    <w:tmpl w:val="04FCB722"/>
    <w:lvl w:ilvl="0" w:tplc="70002B7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1CD957DC"/>
    <w:multiLevelType w:val="hybridMultilevel"/>
    <w:tmpl w:val="BBDED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A53E3B"/>
    <w:multiLevelType w:val="multilevel"/>
    <w:tmpl w:val="2CE6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8A738D"/>
    <w:multiLevelType w:val="hybridMultilevel"/>
    <w:tmpl w:val="CB60D5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BB46A0"/>
    <w:multiLevelType w:val="hybridMultilevel"/>
    <w:tmpl w:val="CA1AF950"/>
    <w:lvl w:ilvl="0" w:tplc="6B6447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3E93E44"/>
    <w:multiLevelType w:val="multilevel"/>
    <w:tmpl w:val="EB1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63B1815"/>
    <w:multiLevelType w:val="hybridMultilevel"/>
    <w:tmpl w:val="3754ED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D5E20"/>
    <w:multiLevelType w:val="hybridMultilevel"/>
    <w:tmpl w:val="176A87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86E214D"/>
    <w:multiLevelType w:val="multilevel"/>
    <w:tmpl w:val="79EE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E337DE"/>
    <w:multiLevelType w:val="hybridMultilevel"/>
    <w:tmpl w:val="387C4B94"/>
    <w:lvl w:ilvl="0" w:tplc="A366EF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3956688"/>
    <w:multiLevelType w:val="multilevel"/>
    <w:tmpl w:val="7BAE5C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6A7382"/>
    <w:multiLevelType w:val="hybridMultilevel"/>
    <w:tmpl w:val="B720FE9E"/>
    <w:lvl w:ilvl="0" w:tplc="11D45A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10"/>
  </w:num>
  <w:num w:numId="8">
    <w:abstractNumId w:val="1"/>
  </w:num>
  <w:num w:numId="9">
    <w:abstractNumId w:val="15"/>
  </w:num>
  <w:num w:numId="10">
    <w:abstractNumId w:val="3"/>
  </w:num>
  <w:num w:numId="11">
    <w:abstractNumId w:val="18"/>
  </w:num>
  <w:num w:numId="12">
    <w:abstractNumId w:val="11"/>
  </w:num>
  <w:num w:numId="13">
    <w:abstractNumId w:val="9"/>
  </w:num>
  <w:num w:numId="14">
    <w:abstractNumId w:val="8"/>
  </w:num>
  <w:num w:numId="15">
    <w:abstractNumId w:val="5"/>
  </w:num>
  <w:num w:numId="16">
    <w:abstractNumId w:val="17"/>
  </w:num>
  <w:num w:numId="17">
    <w:abstractNumId w:val="14"/>
  </w:num>
  <w:num w:numId="18">
    <w:abstractNumId w:val="13"/>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U2NDcDAgtLU1MLcyUdpeDU4uLM/DyQArNaAG7scdMsAAAA"/>
  </w:docVars>
  <w:rsids>
    <w:rsidRoot w:val="00394D92"/>
    <w:rsid w:val="00000F8C"/>
    <w:rsid w:val="000020B1"/>
    <w:rsid w:val="000022E7"/>
    <w:rsid w:val="000035F5"/>
    <w:rsid w:val="00031DE4"/>
    <w:rsid w:val="0009700C"/>
    <w:rsid w:val="000C3659"/>
    <w:rsid w:val="000C6F0D"/>
    <w:rsid w:val="000D3FD4"/>
    <w:rsid w:val="000E546F"/>
    <w:rsid w:val="0012285C"/>
    <w:rsid w:val="00147366"/>
    <w:rsid w:val="001607CB"/>
    <w:rsid w:val="001D2902"/>
    <w:rsid w:val="001D6C09"/>
    <w:rsid w:val="001E2EBC"/>
    <w:rsid w:val="002561A5"/>
    <w:rsid w:val="002969DB"/>
    <w:rsid w:val="002B305E"/>
    <w:rsid w:val="002F36DA"/>
    <w:rsid w:val="0032652D"/>
    <w:rsid w:val="00340B44"/>
    <w:rsid w:val="0035261D"/>
    <w:rsid w:val="0035360D"/>
    <w:rsid w:val="003676A4"/>
    <w:rsid w:val="00394D92"/>
    <w:rsid w:val="003C746A"/>
    <w:rsid w:val="003D5570"/>
    <w:rsid w:val="004058EE"/>
    <w:rsid w:val="004219AB"/>
    <w:rsid w:val="00470A63"/>
    <w:rsid w:val="00477C64"/>
    <w:rsid w:val="00477D39"/>
    <w:rsid w:val="004817D9"/>
    <w:rsid w:val="004A27C6"/>
    <w:rsid w:val="004F419F"/>
    <w:rsid w:val="005342D2"/>
    <w:rsid w:val="005507F0"/>
    <w:rsid w:val="005544AB"/>
    <w:rsid w:val="00565F93"/>
    <w:rsid w:val="00581D24"/>
    <w:rsid w:val="00583BC1"/>
    <w:rsid w:val="005A6136"/>
    <w:rsid w:val="00626963"/>
    <w:rsid w:val="00674B1C"/>
    <w:rsid w:val="00682001"/>
    <w:rsid w:val="00690F3B"/>
    <w:rsid w:val="006941C9"/>
    <w:rsid w:val="006A7206"/>
    <w:rsid w:val="006D5031"/>
    <w:rsid w:val="0070146B"/>
    <w:rsid w:val="00731471"/>
    <w:rsid w:val="007646FE"/>
    <w:rsid w:val="00797951"/>
    <w:rsid w:val="007B06A9"/>
    <w:rsid w:val="007B6C95"/>
    <w:rsid w:val="007C78B7"/>
    <w:rsid w:val="007E6D1B"/>
    <w:rsid w:val="00822D17"/>
    <w:rsid w:val="008506D2"/>
    <w:rsid w:val="00856DC2"/>
    <w:rsid w:val="008B674A"/>
    <w:rsid w:val="009012A2"/>
    <w:rsid w:val="00903A58"/>
    <w:rsid w:val="0091524B"/>
    <w:rsid w:val="009211BA"/>
    <w:rsid w:val="00921E9B"/>
    <w:rsid w:val="009231A7"/>
    <w:rsid w:val="00923DCD"/>
    <w:rsid w:val="00956BDE"/>
    <w:rsid w:val="00956E30"/>
    <w:rsid w:val="00983AF0"/>
    <w:rsid w:val="009C6D89"/>
    <w:rsid w:val="009E00C9"/>
    <w:rsid w:val="009E38F9"/>
    <w:rsid w:val="00A07025"/>
    <w:rsid w:val="00A25CEC"/>
    <w:rsid w:val="00A80CE0"/>
    <w:rsid w:val="00A964EE"/>
    <w:rsid w:val="00AA0EE8"/>
    <w:rsid w:val="00AF7654"/>
    <w:rsid w:val="00B44A19"/>
    <w:rsid w:val="00B54346"/>
    <w:rsid w:val="00B66085"/>
    <w:rsid w:val="00B71AD9"/>
    <w:rsid w:val="00BA26E7"/>
    <w:rsid w:val="00BA591D"/>
    <w:rsid w:val="00BB291F"/>
    <w:rsid w:val="00C01896"/>
    <w:rsid w:val="00C52051"/>
    <w:rsid w:val="00C90779"/>
    <w:rsid w:val="00CA039D"/>
    <w:rsid w:val="00CA3EF1"/>
    <w:rsid w:val="00CB5A86"/>
    <w:rsid w:val="00CC2232"/>
    <w:rsid w:val="00D041E1"/>
    <w:rsid w:val="00D12FBB"/>
    <w:rsid w:val="00D13599"/>
    <w:rsid w:val="00D336E6"/>
    <w:rsid w:val="00D538BE"/>
    <w:rsid w:val="00DC33D6"/>
    <w:rsid w:val="00DD234B"/>
    <w:rsid w:val="00E01F1C"/>
    <w:rsid w:val="00E0384F"/>
    <w:rsid w:val="00E16D71"/>
    <w:rsid w:val="00E42CBE"/>
    <w:rsid w:val="00E47678"/>
    <w:rsid w:val="00E553AF"/>
    <w:rsid w:val="00E61C02"/>
    <w:rsid w:val="00E65360"/>
    <w:rsid w:val="00E70AC1"/>
    <w:rsid w:val="00E84156"/>
    <w:rsid w:val="00EB7527"/>
    <w:rsid w:val="00F15E27"/>
    <w:rsid w:val="00F17A5B"/>
    <w:rsid w:val="00F20660"/>
    <w:rsid w:val="00F26A76"/>
    <w:rsid w:val="00F433A7"/>
    <w:rsid w:val="00F64E12"/>
    <w:rsid w:val="00F7146D"/>
    <w:rsid w:val="00FA7332"/>
    <w:rsid w:val="00FD445A"/>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01DA7"/>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A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A3EF1"/>
    <w:rPr>
      <w:color w:val="0000FF"/>
      <w:u w:val="single"/>
    </w:rPr>
  </w:style>
  <w:style w:type="character" w:styleId="Strong">
    <w:name w:val="Strong"/>
    <w:basedOn w:val="DefaultParagraphFont"/>
    <w:uiPriority w:val="22"/>
    <w:qFormat/>
    <w:rsid w:val="005A6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89630220">
      <w:bodyDiv w:val="1"/>
      <w:marLeft w:val="0"/>
      <w:marRight w:val="0"/>
      <w:marTop w:val="0"/>
      <w:marBottom w:val="0"/>
      <w:divBdr>
        <w:top w:val="none" w:sz="0" w:space="0" w:color="auto"/>
        <w:left w:val="none" w:sz="0" w:space="0" w:color="auto"/>
        <w:bottom w:val="none" w:sz="0" w:space="0" w:color="auto"/>
        <w:right w:val="none" w:sz="0" w:space="0" w:color="auto"/>
      </w:divBdr>
    </w:div>
    <w:div w:id="453062104">
      <w:bodyDiv w:val="1"/>
      <w:marLeft w:val="0"/>
      <w:marRight w:val="0"/>
      <w:marTop w:val="0"/>
      <w:marBottom w:val="0"/>
      <w:divBdr>
        <w:top w:val="none" w:sz="0" w:space="0" w:color="auto"/>
        <w:left w:val="none" w:sz="0" w:space="0" w:color="auto"/>
        <w:bottom w:val="none" w:sz="0" w:space="0" w:color="auto"/>
        <w:right w:val="none" w:sz="0" w:space="0" w:color="auto"/>
      </w:divBdr>
    </w:div>
    <w:div w:id="535392809">
      <w:bodyDiv w:val="1"/>
      <w:marLeft w:val="0"/>
      <w:marRight w:val="0"/>
      <w:marTop w:val="0"/>
      <w:marBottom w:val="0"/>
      <w:divBdr>
        <w:top w:val="none" w:sz="0" w:space="0" w:color="auto"/>
        <w:left w:val="none" w:sz="0" w:space="0" w:color="auto"/>
        <w:bottom w:val="none" w:sz="0" w:space="0" w:color="auto"/>
        <w:right w:val="none" w:sz="0" w:space="0" w:color="auto"/>
      </w:divBdr>
      <w:divsChild>
        <w:div w:id="476339754">
          <w:marLeft w:val="0"/>
          <w:marRight w:val="0"/>
          <w:marTop w:val="0"/>
          <w:marBottom w:val="0"/>
          <w:divBdr>
            <w:top w:val="none" w:sz="0" w:space="0" w:color="auto"/>
            <w:left w:val="none" w:sz="0" w:space="0" w:color="auto"/>
            <w:bottom w:val="none" w:sz="0" w:space="0" w:color="auto"/>
            <w:right w:val="none" w:sz="0" w:space="0" w:color="auto"/>
          </w:divBdr>
        </w:div>
      </w:divsChild>
    </w:div>
    <w:div w:id="588923467">
      <w:bodyDiv w:val="1"/>
      <w:marLeft w:val="0"/>
      <w:marRight w:val="0"/>
      <w:marTop w:val="0"/>
      <w:marBottom w:val="0"/>
      <w:divBdr>
        <w:top w:val="none" w:sz="0" w:space="0" w:color="auto"/>
        <w:left w:val="none" w:sz="0" w:space="0" w:color="auto"/>
        <w:bottom w:val="none" w:sz="0" w:space="0" w:color="auto"/>
        <w:right w:val="none" w:sz="0" w:space="0" w:color="auto"/>
      </w:divBdr>
    </w:div>
    <w:div w:id="717752536">
      <w:bodyDiv w:val="1"/>
      <w:marLeft w:val="0"/>
      <w:marRight w:val="0"/>
      <w:marTop w:val="0"/>
      <w:marBottom w:val="0"/>
      <w:divBdr>
        <w:top w:val="none" w:sz="0" w:space="0" w:color="auto"/>
        <w:left w:val="none" w:sz="0" w:space="0" w:color="auto"/>
        <w:bottom w:val="none" w:sz="0" w:space="0" w:color="auto"/>
        <w:right w:val="none" w:sz="0" w:space="0" w:color="auto"/>
      </w:divBdr>
      <w:divsChild>
        <w:div w:id="184755747">
          <w:marLeft w:val="0"/>
          <w:marRight w:val="0"/>
          <w:marTop w:val="0"/>
          <w:marBottom w:val="0"/>
          <w:divBdr>
            <w:top w:val="none" w:sz="0" w:space="0" w:color="auto"/>
            <w:left w:val="none" w:sz="0" w:space="0" w:color="auto"/>
            <w:bottom w:val="none" w:sz="0" w:space="0" w:color="auto"/>
            <w:right w:val="none" w:sz="0" w:space="0" w:color="auto"/>
          </w:divBdr>
        </w:div>
      </w:divsChild>
    </w:div>
    <w:div w:id="1054885863">
      <w:bodyDiv w:val="1"/>
      <w:marLeft w:val="0"/>
      <w:marRight w:val="0"/>
      <w:marTop w:val="0"/>
      <w:marBottom w:val="0"/>
      <w:divBdr>
        <w:top w:val="none" w:sz="0" w:space="0" w:color="auto"/>
        <w:left w:val="none" w:sz="0" w:space="0" w:color="auto"/>
        <w:bottom w:val="none" w:sz="0" w:space="0" w:color="auto"/>
        <w:right w:val="none" w:sz="0" w:space="0" w:color="auto"/>
      </w:divBdr>
      <w:divsChild>
        <w:div w:id="724913032">
          <w:marLeft w:val="0"/>
          <w:marRight w:val="0"/>
          <w:marTop w:val="0"/>
          <w:marBottom w:val="0"/>
          <w:divBdr>
            <w:top w:val="single" w:sz="2" w:space="0" w:color="E3E3E3"/>
            <w:left w:val="single" w:sz="2" w:space="0" w:color="E3E3E3"/>
            <w:bottom w:val="single" w:sz="2" w:space="0" w:color="E3E3E3"/>
            <w:right w:val="single" w:sz="2" w:space="0" w:color="E3E3E3"/>
          </w:divBdr>
          <w:divsChild>
            <w:div w:id="2122913978">
              <w:marLeft w:val="0"/>
              <w:marRight w:val="0"/>
              <w:marTop w:val="0"/>
              <w:marBottom w:val="0"/>
              <w:divBdr>
                <w:top w:val="single" w:sz="2" w:space="0" w:color="E3E3E3"/>
                <w:left w:val="single" w:sz="2" w:space="0" w:color="E3E3E3"/>
                <w:bottom w:val="single" w:sz="2" w:space="0" w:color="E3E3E3"/>
                <w:right w:val="single" w:sz="2" w:space="0" w:color="E3E3E3"/>
              </w:divBdr>
              <w:divsChild>
                <w:div w:id="1713531001">
                  <w:marLeft w:val="0"/>
                  <w:marRight w:val="0"/>
                  <w:marTop w:val="0"/>
                  <w:marBottom w:val="0"/>
                  <w:divBdr>
                    <w:top w:val="single" w:sz="2" w:space="0" w:color="E3E3E3"/>
                    <w:left w:val="single" w:sz="2" w:space="0" w:color="E3E3E3"/>
                    <w:bottom w:val="single" w:sz="2" w:space="0" w:color="E3E3E3"/>
                    <w:right w:val="single" w:sz="2" w:space="0" w:color="E3E3E3"/>
                  </w:divBdr>
                  <w:divsChild>
                    <w:div w:id="1448503029">
                      <w:marLeft w:val="0"/>
                      <w:marRight w:val="0"/>
                      <w:marTop w:val="0"/>
                      <w:marBottom w:val="0"/>
                      <w:divBdr>
                        <w:top w:val="single" w:sz="2" w:space="0" w:color="E3E3E3"/>
                        <w:left w:val="single" w:sz="2" w:space="0" w:color="E3E3E3"/>
                        <w:bottom w:val="single" w:sz="2" w:space="0" w:color="E3E3E3"/>
                        <w:right w:val="single" w:sz="2" w:space="0" w:color="E3E3E3"/>
                      </w:divBdr>
                      <w:divsChild>
                        <w:div w:id="2114743593">
                          <w:marLeft w:val="0"/>
                          <w:marRight w:val="0"/>
                          <w:marTop w:val="0"/>
                          <w:marBottom w:val="0"/>
                          <w:divBdr>
                            <w:top w:val="single" w:sz="2" w:space="0" w:color="E3E3E3"/>
                            <w:left w:val="single" w:sz="2" w:space="0" w:color="E3E3E3"/>
                            <w:bottom w:val="single" w:sz="2" w:space="0" w:color="E3E3E3"/>
                            <w:right w:val="single" w:sz="2" w:space="0" w:color="E3E3E3"/>
                          </w:divBdr>
                          <w:divsChild>
                            <w:div w:id="1999111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483423835">
                                  <w:marLeft w:val="0"/>
                                  <w:marRight w:val="0"/>
                                  <w:marTop w:val="0"/>
                                  <w:marBottom w:val="0"/>
                                  <w:divBdr>
                                    <w:top w:val="single" w:sz="2" w:space="0" w:color="E3E3E3"/>
                                    <w:left w:val="single" w:sz="2" w:space="0" w:color="E3E3E3"/>
                                    <w:bottom w:val="single" w:sz="2" w:space="0" w:color="E3E3E3"/>
                                    <w:right w:val="single" w:sz="2" w:space="0" w:color="E3E3E3"/>
                                  </w:divBdr>
                                  <w:divsChild>
                                    <w:div w:id="392168757">
                                      <w:marLeft w:val="0"/>
                                      <w:marRight w:val="0"/>
                                      <w:marTop w:val="0"/>
                                      <w:marBottom w:val="0"/>
                                      <w:divBdr>
                                        <w:top w:val="single" w:sz="2" w:space="0" w:color="E3E3E3"/>
                                        <w:left w:val="single" w:sz="2" w:space="0" w:color="E3E3E3"/>
                                        <w:bottom w:val="single" w:sz="2" w:space="0" w:color="E3E3E3"/>
                                        <w:right w:val="single" w:sz="2" w:space="0" w:color="E3E3E3"/>
                                      </w:divBdr>
                                      <w:divsChild>
                                        <w:div w:id="1056666015">
                                          <w:marLeft w:val="0"/>
                                          <w:marRight w:val="0"/>
                                          <w:marTop w:val="0"/>
                                          <w:marBottom w:val="0"/>
                                          <w:divBdr>
                                            <w:top w:val="single" w:sz="2" w:space="0" w:color="E3E3E3"/>
                                            <w:left w:val="single" w:sz="2" w:space="0" w:color="E3E3E3"/>
                                            <w:bottom w:val="single" w:sz="2" w:space="0" w:color="E3E3E3"/>
                                            <w:right w:val="single" w:sz="2" w:space="0" w:color="E3E3E3"/>
                                          </w:divBdr>
                                          <w:divsChild>
                                            <w:div w:id="1746537895">
                                              <w:marLeft w:val="0"/>
                                              <w:marRight w:val="0"/>
                                              <w:marTop w:val="0"/>
                                              <w:marBottom w:val="0"/>
                                              <w:divBdr>
                                                <w:top w:val="single" w:sz="2" w:space="0" w:color="E3E3E3"/>
                                                <w:left w:val="single" w:sz="2" w:space="0" w:color="E3E3E3"/>
                                                <w:bottom w:val="single" w:sz="2" w:space="0" w:color="E3E3E3"/>
                                                <w:right w:val="single" w:sz="2" w:space="0" w:color="E3E3E3"/>
                                              </w:divBdr>
                                              <w:divsChild>
                                                <w:div w:id="390426951">
                                                  <w:marLeft w:val="0"/>
                                                  <w:marRight w:val="0"/>
                                                  <w:marTop w:val="0"/>
                                                  <w:marBottom w:val="0"/>
                                                  <w:divBdr>
                                                    <w:top w:val="single" w:sz="2" w:space="0" w:color="E3E3E3"/>
                                                    <w:left w:val="single" w:sz="2" w:space="0" w:color="E3E3E3"/>
                                                    <w:bottom w:val="single" w:sz="2" w:space="0" w:color="E3E3E3"/>
                                                    <w:right w:val="single" w:sz="2" w:space="0" w:color="E3E3E3"/>
                                                  </w:divBdr>
                                                  <w:divsChild>
                                                    <w:div w:id="1821147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08149701">
          <w:marLeft w:val="0"/>
          <w:marRight w:val="0"/>
          <w:marTop w:val="0"/>
          <w:marBottom w:val="0"/>
          <w:divBdr>
            <w:top w:val="none" w:sz="0" w:space="0" w:color="auto"/>
            <w:left w:val="none" w:sz="0" w:space="0" w:color="auto"/>
            <w:bottom w:val="none" w:sz="0" w:space="0" w:color="auto"/>
            <w:right w:val="none" w:sz="0" w:space="0" w:color="auto"/>
          </w:divBdr>
        </w:div>
      </w:divsChild>
    </w:div>
    <w:div w:id="1220627709">
      <w:bodyDiv w:val="1"/>
      <w:marLeft w:val="0"/>
      <w:marRight w:val="0"/>
      <w:marTop w:val="0"/>
      <w:marBottom w:val="0"/>
      <w:divBdr>
        <w:top w:val="none" w:sz="0" w:space="0" w:color="auto"/>
        <w:left w:val="none" w:sz="0" w:space="0" w:color="auto"/>
        <w:bottom w:val="none" w:sz="0" w:space="0" w:color="auto"/>
        <w:right w:val="none" w:sz="0" w:space="0" w:color="auto"/>
      </w:divBdr>
      <w:divsChild>
        <w:div w:id="493569284">
          <w:marLeft w:val="0"/>
          <w:marRight w:val="0"/>
          <w:marTop w:val="0"/>
          <w:marBottom w:val="0"/>
          <w:divBdr>
            <w:top w:val="none" w:sz="0" w:space="0" w:color="auto"/>
            <w:left w:val="none" w:sz="0" w:space="0" w:color="auto"/>
            <w:bottom w:val="none" w:sz="0" w:space="0" w:color="auto"/>
            <w:right w:val="none" w:sz="0" w:space="0" w:color="auto"/>
          </w:divBdr>
        </w:div>
      </w:divsChild>
    </w:div>
    <w:div w:id="1408991059">
      <w:bodyDiv w:val="1"/>
      <w:marLeft w:val="0"/>
      <w:marRight w:val="0"/>
      <w:marTop w:val="0"/>
      <w:marBottom w:val="0"/>
      <w:divBdr>
        <w:top w:val="none" w:sz="0" w:space="0" w:color="auto"/>
        <w:left w:val="none" w:sz="0" w:space="0" w:color="auto"/>
        <w:bottom w:val="none" w:sz="0" w:space="0" w:color="auto"/>
        <w:right w:val="none" w:sz="0" w:space="0" w:color="auto"/>
      </w:divBdr>
      <w:divsChild>
        <w:div w:id="822042976">
          <w:marLeft w:val="0"/>
          <w:marRight w:val="0"/>
          <w:marTop w:val="0"/>
          <w:marBottom w:val="0"/>
          <w:divBdr>
            <w:top w:val="none" w:sz="0" w:space="0" w:color="auto"/>
            <w:left w:val="none" w:sz="0" w:space="0" w:color="auto"/>
            <w:bottom w:val="none" w:sz="0" w:space="0" w:color="auto"/>
            <w:right w:val="none" w:sz="0" w:space="0" w:color="auto"/>
          </w:divBdr>
        </w:div>
      </w:divsChild>
    </w:div>
    <w:div w:id="14684005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ttorgar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ttorgarh.com/report/ipo-market-maker-vs-listing-gain/127/4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ittorgarh.com/report/ipo-registrar-review/114/3/" TargetMode="External"/><Relationship Id="rId4" Type="http://schemas.openxmlformats.org/officeDocument/2006/relationships/settings" Target="settings.xml"/><Relationship Id="rId9" Type="http://schemas.openxmlformats.org/officeDocument/2006/relationships/hyperlink" Target="https://www.chittorgarh.com/report/ipo-lead-manager-review/112/1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B690-5F94-4DF0-B0AF-01E73C7F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22</cp:revision>
  <dcterms:created xsi:type="dcterms:W3CDTF">2024-03-19T11:06:00Z</dcterms:created>
  <dcterms:modified xsi:type="dcterms:W3CDTF">2024-03-27T05:33:00Z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