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95"/>
        <w:gridCol w:w="6655"/>
      </w:tblGrid>
      <w:tr w:rsidR="00921E9B" w:rsidRPr="0085289F" w14:paraId="0FA64DF4" w14:textId="77777777" w:rsidTr="00000F8C">
        <w:trPr>
          <w:trHeight w:val="827"/>
        </w:trPr>
        <w:tc>
          <w:tcPr>
            <w:tcW w:w="1441" w:type="pct"/>
          </w:tcPr>
          <w:p w14:paraId="53553D4D" w14:textId="77777777" w:rsidR="00BB291F" w:rsidRPr="0085289F" w:rsidRDefault="00BB291F" w:rsidP="000C6F0D">
            <w:pPr>
              <w:spacing w:after="0"/>
              <w:rPr>
                <w:rFonts w:cstheme="minorHAnsi"/>
                <w:i/>
                <w:szCs w:val="24"/>
                <w:lang w:val="en-IN"/>
              </w:rPr>
            </w:pPr>
            <w:r w:rsidRPr="0085289F">
              <w:rPr>
                <w:rFonts w:cstheme="minorHAnsi"/>
                <w:b/>
                <w:noProof/>
                <w:sz w:val="32"/>
                <w:szCs w:val="24"/>
                <w:lang w:val="en-IN" w:eastAsia="en-IN"/>
              </w:rPr>
              <w:drawing>
                <wp:inline distT="0" distB="0" distL="0" distR="0" wp14:anchorId="49D0571E" wp14:editId="58AAF190">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081D877F" w14:textId="77777777" w:rsidR="00BB291F" w:rsidRPr="0085289F" w:rsidRDefault="00BB291F" w:rsidP="00BB291F">
            <w:pPr>
              <w:spacing w:after="0"/>
              <w:jc w:val="center"/>
              <w:rPr>
                <w:rFonts w:cstheme="minorHAnsi"/>
                <w:b/>
                <w:sz w:val="32"/>
                <w:szCs w:val="24"/>
                <w:lang w:val="en-IN"/>
              </w:rPr>
            </w:pPr>
            <w:r w:rsidRPr="0085289F">
              <w:rPr>
                <w:rFonts w:cstheme="minorHAnsi"/>
                <w:b/>
                <w:sz w:val="32"/>
                <w:szCs w:val="24"/>
                <w:lang w:val="en-IN"/>
              </w:rPr>
              <w:t>JAIPURIA INSTITUE OF MANAGEMENT, INDORE</w:t>
            </w:r>
          </w:p>
          <w:p w14:paraId="6FE3C26A" w14:textId="77777777" w:rsidR="00BB291F" w:rsidRPr="0085289F" w:rsidRDefault="00BB291F" w:rsidP="009C1C2F">
            <w:pPr>
              <w:spacing w:after="0"/>
              <w:jc w:val="center"/>
              <w:rPr>
                <w:rFonts w:cstheme="minorHAnsi"/>
                <w:i/>
                <w:szCs w:val="24"/>
                <w:lang w:val="en-IN"/>
              </w:rPr>
            </w:pPr>
            <w:r w:rsidRPr="0085289F">
              <w:rPr>
                <w:rFonts w:cstheme="minorHAnsi"/>
                <w:sz w:val="28"/>
                <w:szCs w:val="32"/>
                <w:lang w:val="en-IN"/>
              </w:rPr>
              <w:t>Post Graduate Diploma in Management</w:t>
            </w:r>
            <w:r w:rsidR="003C746A" w:rsidRPr="0085289F">
              <w:rPr>
                <w:rFonts w:cstheme="minorHAnsi"/>
                <w:sz w:val="28"/>
                <w:szCs w:val="32"/>
                <w:lang w:val="en-IN"/>
              </w:rPr>
              <w:t xml:space="preserve"> (Batch 202</w:t>
            </w:r>
            <w:r w:rsidR="009C1C2F">
              <w:rPr>
                <w:rFonts w:cstheme="minorHAnsi"/>
                <w:sz w:val="28"/>
                <w:szCs w:val="32"/>
                <w:lang w:val="en-IN"/>
              </w:rPr>
              <w:t>3</w:t>
            </w:r>
            <w:r w:rsidR="003C746A" w:rsidRPr="0085289F">
              <w:rPr>
                <w:rFonts w:cstheme="minorHAnsi"/>
                <w:sz w:val="28"/>
                <w:szCs w:val="32"/>
                <w:lang w:val="en-IN"/>
              </w:rPr>
              <w:t>-2</w:t>
            </w:r>
            <w:r w:rsidR="009C1C2F">
              <w:rPr>
                <w:rFonts w:cstheme="minorHAnsi"/>
                <w:sz w:val="28"/>
                <w:szCs w:val="32"/>
                <w:lang w:val="en-IN"/>
              </w:rPr>
              <w:t>5</w:t>
            </w:r>
            <w:r w:rsidR="003C746A" w:rsidRPr="0085289F">
              <w:rPr>
                <w:rFonts w:cstheme="minorHAnsi"/>
                <w:sz w:val="28"/>
                <w:szCs w:val="32"/>
                <w:lang w:val="en-IN"/>
              </w:rPr>
              <w:t>)</w:t>
            </w:r>
          </w:p>
        </w:tc>
      </w:tr>
      <w:tr w:rsidR="00921E9B" w:rsidRPr="0085289F" w14:paraId="61B05724" w14:textId="77777777" w:rsidTr="00000F8C">
        <w:trPr>
          <w:trHeight w:val="755"/>
        </w:trPr>
        <w:tc>
          <w:tcPr>
            <w:tcW w:w="5000" w:type="pct"/>
            <w:gridSpan w:val="2"/>
          </w:tcPr>
          <w:p w14:paraId="7A093D6A" w14:textId="77777777" w:rsidR="003D5570" w:rsidRPr="0085289F" w:rsidRDefault="003D5570" w:rsidP="00BB291F">
            <w:pPr>
              <w:tabs>
                <w:tab w:val="left" w:pos="90"/>
              </w:tabs>
              <w:spacing w:after="0"/>
              <w:jc w:val="center"/>
              <w:rPr>
                <w:rFonts w:cstheme="minorHAnsi"/>
                <w:b/>
                <w:sz w:val="28"/>
                <w:szCs w:val="28"/>
                <w:lang w:val="en-IN"/>
              </w:rPr>
            </w:pPr>
            <w:r w:rsidRPr="0085289F">
              <w:rPr>
                <w:rFonts w:cstheme="minorHAnsi"/>
                <w:b/>
                <w:sz w:val="28"/>
                <w:szCs w:val="28"/>
                <w:lang w:val="en-IN"/>
              </w:rPr>
              <w:t>Cours</w:t>
            </w:r>
            <w:r w:rsidR="009231A7" w:rsidRPr="0085289F">
              <w:rPr>
                <w:rFonts w:cstheme="minorHAnsi"/>
                <w:b/>
                <w:sz w:val="28"/>
                <w:szCs w:val="28"/>
                <w:lang w:val="en-IN"/>
              </w:rPr>
              <w:t xml:space="preserve">e Title: </w:t>
            </w:r>
            <w:r w:rsidR="0035261D" w:rsidRPr="0085289F">
              <w:rPr>
                <w:rFonts w:cstheme="minorHAnsi"/>
                <w:b/>
                <w:color w:val="000000" w:themeColor="text1"/>
                <w:sz w:val="28"/>
                <w:szCs w:val="28"/>
                <w:lang w:val="en-IN"/>
              </w:rPr>
              <w:t>Investment Banking</w:t>
            </w:r>
            <w:r w:rsidR="0035261D" w:rsidRPr="0085289F">
              <w:rPr>
                <w:rFonts w:cstheme="minorHAnsi"/>
                <w:b/>
                <w:sz w:val="28"/>
                <w:szCs w:val="28"/>
                <w:lang w:val="en-IN"/>
              </w:rPr>
              <w:t xml:space="preserve"> </w:t>
            </w:r>
            <w:r w:rsidRPr="0085289F">
              <w:rPr>
                <w:rFonts w:cstheme="minorHAnsi"/>
                <w:b/>
                <w:sz w:val="28"/>
                <w:szCs w:val="28"/>
                <w:lang w:val="en-IN"/>
              </w:rPr>
              <w:t xml:space="preserve">(Course Code: </w:t>
            </w:r>
            <w:r w:rsidR="0035261D" w:rsidRPr="0085289F">
              <w:rPr>
                <w:rFonts w:cstheme="minorHAnsi"/>
                <w:b/>
                <w:sz w:val="28"/>
                <w:szCs w:val="28"/>
                <w:lang w:val="en-IN"/>
              </w:rPr>
              <w:t>40244</w:t>
            </w:r>
            <w:r w:rsidRPr="0085289F">
              <w:rPr>
                <w:rFonts w:cstheme="minorHAnsi"/>
                <w:b/>
                <w:sz w:val="28"/>
                <w:szCs w:val="28"/>
                <w:lang w:val="en-IN"/>
              </w:rPr>
              <w:t>)</w:t>
            </w:r>
          </w:p>
          <w:p w14:paraId="4F85F90D" w14:textId="16B9A5DB" w:rsidR="00BB291F" w:rsidRPr="0085289F" w:rsidRDefault="00D12FBB" w:rsidP="009C1C2F">
            <w:pPr>
              <w:tabs>
                <w:tab w:val="left" w:pos="90"/>
              </w:tabs>
              <w:spacing w:after="0"/>
              <w:jc w:val="center"/>
              <w:rPr>
                <w:rFonts w:cstheme="minorHAnsi"/>
                <w:b/>
                <w:sz w:val="32"/>
                <w:szCs w:val="24"/>
                <w:lang w:val="en-IN"/>
              </w:rPr>
            </w:pPr>
            <w:r w:rsidRPr="0085289F">
              <w:rPr>
                <w:rFonts w:cstheme="minorHAnsi"/>
                <w:b/>
                <w:sz w:val="28"/>
                <w:szCs w:val="28"/>
                <w:lang w:val="en-IN"/>
              </w:rPr>
              <w:t>Improvement</w:t>
            </w:r>
            <w:r w:rsidR="000E546F" w:rsidRPr="0085289F">
              <w:rPr>
                <w:rFonts w:cstheme="minorHAnsi"/>
                <w:b/>
                <w:sz w:val="28"/>
                <w:szCs w:val="28"/>
                <w:lang w:val="en-IN"/>
              </w:rPr>
              <w:t xml:space="preserve"> Examination, Term </w:t>
            </w:r>
            <w:r w:rsidR="009C1C2F">
              <w:rPr>
                <w:rFonts w:cstheme="minorHAnsi"/>
                <w:b/>
                <w:sz w:val="28"/>
                <w:szCs w:val="28"/>
                <w:lang w:val="en-IN"/>
              </w:rPr>
              <w:t>–</w:t>
            </w:r>
            <w:r w:rsidR="000E546F" w:rsidRPr="0085289F">
              <w:rPr>
                <w:rFonts w:cstheme="minorHAnsi"/>
                <w:b/>
                <w:sz w:val="28"/>
                <w:szCs w:val="28"/>
                <w:lang w:val="en-IN"/>
              </w:rPr>
              <w:t xml:space="preserve"> </w:t>
            </w:r>
            <w:r w:rsidR="009C1C2F">
              <w:rPr>
                <w:rFonts w:cstheme="minorHAnsi"/>
                <w:b/>
                <w:sz w:val="28"/>
                <w:szCs w:val="28"/>
                <w:lang w:val="en-IN"/>
              </w:rPr>
              <w:t>I</w:t>
            </w:r>
            <w:r w:rsidR="000E546F" w:rsidRPr="0085289F">
              <w:rPr>
                <w:rFonts w:cstheme="minorHAnsi"/>
                <w:b/>
                <w:sz w:val="28"/>
                <w:szCs w:val="28"/>
                <w:lang w:val="en-IN"/>
              </w:rPr>
              <w:t>V</w:t>
            </w:r>
            <w:r w:rsidR="009C1C2F">
              <w:rPr>
                <w:rFonts w:cstheme="minorHAnsi"/>
                <w:b/>
                <w:sz w:val="28"/>
                <w:szCs w:val="28"/>
                <w:lang w:val="en-IN"/>
              </w:rPr>
              <w:t xml:space="preserve"> </w:t>
            </w:r>
            <w:r w:rsidR="00BB291F" w:rsidRPr="0085289F">
              <w:rPr>
                <w:rFonts w:cstheme="minorHAnsi"/>
                <w:b/>
                <w:sz w:val="28"/>
                <w:szCs w:val="28"/>
                <w:lang w:val="en-IN"/>
              </w:rPr>
              <w:t>(</w:t>
            </w:r>
            <w:r w:rsidR="00866584">
              <w:rPr>
                <w:rFonts w:cstheme="minorHAnsi"/>
                <w:b/>
                <w:sz w:val="28"/>
                <w:szCs w:val="28"/>
                <w:lang w:val="en-IN"/>
              </w:rPr>
              <w:t>Nov</w:t>
            </w:r>
            <w:r w:rsidR="00BB291F" w:rsidRPr="0085289F">
              <w:rPr>
                <w:rFonts w:cstheme="minorHAnsi"/>
                <w:b/>
                <w:sz w:val="28"/>
                <w:szCs w:val="28"/>
                <w:lang w:val="en-IN"/>
              </w:rPr>
              <w:t xml:space="preserve"> 202</w:t>
            </w:r>
            <w:r w:rsidRPr="0085289F">
              <w:rPr>
                <w:rFonts w:cstheme="minorHAnsi"/>
                <w:b/>
                <w:sz w:val="28"/>
                <w:szCs w:val="28"/>
                <w:lang w:val="en-IN"/>
              </w:rPr>
              <w:t>4</w:t>
            </w:r>
            <w:r w:rsidR="00BB291F" w:rsidRPr="0085289F">
              <w:rPr>
                <w:rFonts w:cstheme="minorHAnsi"/>
                <w:b/>
                <w:sz w:val="28"/>
                <w:szCs w:val="28"/>
                <w:lang w:val="en-IN"/>
              </w:rPr>
              <w:t>)</w:t>
            </w:r>
            <w:r w:rsidR="00BB291F" w:rsidRPr="0085289F">
              <w:rPr>
                <w:rFonts w:cstheme="minorHAnsi"/>
                <w:b/>
                <w:sz w:val="32"/>
                <w:szCs w:val="24"/>
                <w:lang w:val="en-IN"/>
              </w:rPr>
              <w:t xml:space="preserve"> </w:t>
            </w:r>
          </w:p>
        </w:tc>
      </w:tr>
      <w:tr w:rsidR="00921E9B" w:rsidRPr="0085289F" w14:paraId="73467772" w14:textId="77777777" w:rsidTr="00000F8C">
        <w:tc>
          <w:tcPr>
            <w:tcW w:w="5000" w:type="pct"/>
            <w:gridSpan w:val="2"/>
          </w:tcPr>
          <w:p w14:paraId="450BDDBD" w14:textId="3D50BB4C" w:rsidR="00BB291F" w:rsidRPr="0085289F" w:rsidRDefault="00903A58" w:rsidP="00BB291F">
            <w:pPr>
              <w:spacing w:after="0"/>
              <w:rPr>
                <w:rFonts w:cstheme="minorHAnsi"/>
                <w:i/>
                <w:szCs w:val="24"/>
                <w:lang w:val="en-IN"/>
              </w:rPr>
            </w:pPr>
            <w:r w:rsidRPr="0085289F">
              <w:rPr>
                <w:rFonts w:cstheme="minorHAnsi"/>
                <w:b/>
                <w:sz w:val="24"/>
                <w:szCs w:val="24"/>
                <w:lang w:val="en-IN"/>
              </w:rPr>
              <w:t xml:space="preserve"> </w:t>
            </w:r>
            <w:r w:rsidR="00BB291F" w:rsidRPr="0085289F">
              <w:rPr>
                <w:rFonts w:cstheme="minorHAnsi"/>
                <w:b/>
                <w:sz w:val="24"/>
                <w:szCs w:val="24"/>
                <w:lang w:val="en-IN"/>
              </w:rPr>
              <w:t xml:space="preserve">Time </w:t>
            </w:r>
            <w:r w:rsidR="00866584" w:rsidRPr="0085289F">
              <w:rPr>
                <w:rFonts w:cstheme="minorHAnsi"/>
                <w:b/>
                <w:sz w:val="24"/>
                <w:szCs w:val="24"/>
                <w:lang w:val="en-IN"/>
              </w:rPr>
              <w:t>Duration:</w:t>
            </w:r>
            <w:r w:rsidR="00BB291F" w:rsidRPr="0085289F">
              <w:rPr>
                <w:rFonts w:cstheme="minorHAnsi"/>
                <w:b/>
                <w:sz w:val="24"/>
                <w:szCs w:val="24"/>
                <w:lang w:val="en-IN"/>
              </w:rPr>
              <w:t xml:space="preserve"> 2 Hours                                                                                 </w:t>
            </w:r>
            <w:r w:rsidR="00B71AD9" w:rsidRPr="0085289F">
              <w:rPr>
                <w:rFonts w:cstheme="minorHAnsi"/>
                <w:b/>
                <w:sz w:val="24"/>
                <w:szCs w:val="24"/>
                <w:lang w:val="en-IN"/>
              </w:rPr>
              <w:t xml:space="preserve">      </w:t>
            </w:r>
            <w:r w:rsidRPr="0085289F">
              <w:rPr>
                <w:rFonts w:cstheme="minorHAnsi"/>
                <w:b/>
                <w:sz w:val="24"/>
                <w:szCs w:val="24"/>
                <w:lang w:val="en-IN"/>
              </w:rPr>
              <w:t xml:space="preserve">  </w:t>
            </w:r>
            <w:r w:rsidR="00B71AD9" w:rsidRPr="0085289F">
              <w:rPr>
                <w:rFonts w:cstheme="minorHAnsi"/>
                <w:b/>
                <w:sz w:val="24"/>
                <w:szCs w:val="24"/>
                <w:lang w:val="en-IN"/>
              </w:rPr>
              <w:t xml:space="preserve"> </w:t>
            </w:r>
            <w:r w:rsidR="00BB291F" w:rsidRPr="0085289F">
              <w:rPr>
                <w:rFonts w:cstheme="minorHAnsi"/>
                <w:b/>
                <w:sz w:val="24"/>
                <w:szCs w:val="24"/>
                <w:lang w:val="en-IN"/>
              </w:rPr>
              <w:t>Total Marks: 40</w:t>
            </w:r>
          </w:p>
        </w:tc>
      </w:tr>
    </w:tbl>
    <w:p w14:paraId="71613DCF" w14:textId="77777777" w:rsidR="00000F8C" w:rsidRPr="0085289F" w:rsidRDefault="00000F8C" w:rsidP="00000F8C">
      <w:pPr>
        <w:spacing w:after="0" w:line="240" w:lineRule="auto"/>
        <w:jc w:val="both"/>
        <w:rPr>
          <w:rFonts w:cstheme="minorHAnsi"/>
          <w:b/>
          <w:i/>
          <w:iCs/>
          <w:sz w:val="14"/>
          <w:szCs w:val="24"/>
        </w:rPr>
      </w:pPr>
    </w:p>
    <w:p w14:paraId="3A8D0F88" w14:textId="77777777" w:rsidR="00E61C02" w:rsidRPr="0085289F" w:rsidRDefault="000C6F0D" w:rsidP="00000F8C">
      <w:pPr>
        <w:spacing w:after="0" w:line="240" w:lineRule="auto"/>
        <w:jc w:val="both"/>
        <w:rPr>
          <w:rFonts w:cstheme="minorHAnsi"/>
          <w:b/>
          <w:sz w:val="24"/>
          <w:szCs w:val="24"/>
        </w:rPr>
      </w:pPr>
      <w:r w:rsidRPr="0085289F">
        <w:rPr>
          <w:rFonts w:cstheme="minorHAnsi"/>
          <w:b/>
          <w:i/>
          <w:iCs/>
          <w:sz w:val="24"/>
          <w:szCs w:val="24"/>
        </w:rPr>
        <w:t xml:space="preserve">General </w:t>
      </w:r>
      <w:r w:rsidR="00E61C02" w:rsidRPr="0085289F">
        <w:rPr>
          <w:rFonts w:cstheme="minorHAnsi"/>
          <w:b/>
          <w:i/>
          <w:iCs/>
          <w:sz w:val="24"/>
          <w:szCs w:val="24"/>
        </w:rPr>
        <w:t>Instructions</w:t>
      </w:r>
      <w:r w:rsidR="00E61C02" w:rsidRPr="0085289F">
        <w:rPr>
          <w:rFonts w:cstheme="minorHAnsi"/>
          <w:b/>
          <w:sz w:val="24"/>
          <w:szCs w:val="24"/>
        </w:rPr>
        <w:t>:</w:t>
      </w:r>
    </w:p>
    <w:p w14:paraId="5099AC72" w14:textId="77777777" w:rsidR="00AF7654" w:rsidRDefault="0035261D" w:rsidP="00AF7654">
      <w:pPr>
        <w:pStyle w:val="ListParagraph"/>
        <w:numPr>
          <w:ilvl w:val="0"/>
          <w:numId w:val="1"/>
        </w:numPr>
        <w:spacing w:after="0"/>
        <w:jc w:val="both"/>
        <w:rPr>
          <w:rFonts w:cstheme="minorHAnsi"/>
          <w:bCs/>
          <w:i/>
          <w:sz w:val="24"/>
          <w:szCs w:val="24"/>
        </w:rPr>
      </w:pPr>
      <w:r w:rsidRPr="0085289F">
        <w:rPr>
          <w:rFonts w:cstheme="minorHAnsi"/>
          <w:bCs/>
          <w:i/>
          <w:sz w:val="24"/>
          <w:szCs w:val="24"/>
        </w:rPr>
        <w:t xml:space="preserve">This is a </w:t>
      </w:r>
      <w:r w:rsidR="002561A5" w:rsidRPr="0085289F">
        <w:rPr>
          <w:rFonts w:cstheme="minorHAnsi"/>
          <w:bCs/>
          <w:i/>
          <w:sz w:val="24"/>
          <w:szCs w:val="24"/>
        </w:rPr>
        <w:t>pen-and-paper</w:t>
      </w:r>
      <w:r w:rsidR="004A27C6" w:rsidRPr="0085289F">
        <w:rPr>
          <w:rFonts w:cstheme="minorHAnsi"/>
          <w:bCs/>
          <w:i/>
          <w:sz w:val="24"/>
          <w:szCs w:val="24"/>
        </w:rPr>
        <w:t xml:space="preserve"> exam</w:t>
      </w:r>
      <w:r w:rsidR="009C1C2F">
        <w:rPr>
          <w:rFonts w:cstheme="minorHAnsi"/>
          <w:bCs/>
          <w:i/>
          <w:sz w:val="24"/>
          <w:szCs w:val="24"/>
        </w:rPr>
        <w:t>.</w:t>
      </w:r>
    </w:p>
    <w:p w14:paraId="32797BAA" w14:textId="77777777" w:rsidR="009C1C2F" w:rsidRPr="0085289F" w:rsidRDefault="009C1C2F" w:rsidP="00AF7654">
      <w:pPr>
        <w:pStyle w:val="ListParagraph"/>
        <w:numPr>
          <w:ilvl w:val="0"/>
          <w:numId w:val="1"/>
        </w:numPr>
        <w:spacing w:after="0"/>
        <w:jc w:val="both"/>
        <w:rPr>
          <w:rFonts w:cstheme="minorHAnsi"/>
          <w:bCs/>
          <w:i/>
          <w:sz w:val="24"/>
          <w:szCs w:val="24"/>
        </w:rPr>
      </w:pPr>
      <w:r>
        <w:rPr>
          <w:rFonts w:cstheme="minorHAnsi"/>
          <w:bCs/>
          <w:i/>
          <w:sz w:val="24"/>
          <w:szCs w:val="24"/>
        </w:rPr>
        <w:t>This is a closed book exam.</w:t>
      </w:r>
    </w:p>
    <w:p w14:paraId="7989F1F6" w14:textId="77777777" w:rsidR="0035261D" w:rsidRPr="0085289F" w:rsidRDefault="0035261D" w:rsidP="0035261D">
      <w:pPr>
        <w:pStyle w:val="ListParagraph"/>
        <w:numPr>
          <w:ilvl w:val="0"/>
          <w:numId w:val="1"/>
        </w:numPr>
        <w:spacing w:after="0"/>
        <w:jc w:val="both"/>
        <w:rPr>
          <w:rFonts w:cstheme="minorHAnsi"/>
          <w:bCs/>
          <w:i/>
          <w:sz w:val="24"/>
          <w:szCs w:val="24"/>
        </w:rPr>
      </w:pPr>
      <w:r w:rsidRPr="0085289F">
        <w:rPr>
          <w:rFonts w:cstheme="minorHAnsi"/>
          <w:bCs/>
          <w:i/>
          <w:sz w:val="24"/>
          <w:szCs w:val="24"/>
        </w:rPr>
        <w:t>Answer the questions as directed. The break-up of the marks is given wherever necessary.</w:t>
      </w:r>
    </w:p>
    <w:p w14:paraId="3C1455F7" w14:textId="77777777" w:rsidR="009C1C2F" w:rsidRDefault="009C1C2F" w:rsidP="00AF7654">
      <w:pPr>
        <w:pStyle w:val="ListParagraph"/>
        <w:numPr>
          <w:ilvl w:val="0"/>
          <w:numId w:val="1"/>
        </w:numPr>
        <w:spacing w:after="0"/>
        <w:jc w:val="both"/>
        <w:rPr>
          <w:rFonts w:cstheme="minorHAnsi"/>
          <w:bCs/>
          <w:i/>
          <w:sz w:val="24"/>
          <w:szCs w:val="24"/>
        </w:rPr>
      </w:pPr>
      <w:r>
        <w:rPr>
          <w:rFonts w:cstheme="minorHAnsi"/>
          <w:bCs/>
          <w:i/>
          <w:sz w:val="24"/>
          <w:szCs w:val="24"/>
        </w:rPr>
        <w:t>Students can use any type of calculator for numerical calculations.</w:t>
      </w:r>
    </w:p>
    <w:p w14:paraId="7332B846" w14:textId="77777777" w:rsidR="00AF7654" w:rsidRPr="0085289F" w:rsidRDefault="00AF7654" w:rsidP="00AF7654">
      <w:pPr>
        <w:pStyle w:val="ListParagraph"/>
        <w:numPr>
          <w:ilvl w:val="0"/>
          <w:numId w:val="1"/>
        </w:numPr>
        <w:spacing w:after="0"/>
        <w:jc w:val="both"/>
        <w:rPr>
          <w:rFonts w:cstheme="minorHAnsi"/>
          <w:bCs/>
          <w:i/>
          <w:sz w:val="24"/>
          <w:szCs w:val="24"/>
        </w:rPr>
      </w:pPr>
      <w:r w:rsidRPr="0085289F">
        <w:rPr>
          <w:rFonts w:cstheme="minorHAnsi"/>
          <w:bCs/>
          <w:i/>
          <w:sz w:val="24"/>
          <w:szCs w:val="24"/>
        </w:rPr>
        <w:t xml:space="preserve">Answer all the questions of a ‘Question’ </w:t>
      </w:r>
      <w:r w:rsidR="002561A5" w:rsidRPr="0085289F">
        <w:rPr>
          <w:rFonts w:cstheme="minorHAnsi"/>
          <w:bCs/>
          <w:i/>
          <w:sz w:val="24"/>
          <w:szCs w:val="24"/>
        </w:rPr>
        <w:t>in</w:t>
      </w:r>
      <w:r w:rsidRPr="0085289F">
        <w:rPr>
          <w:rFonts w:cstheme="minorHAnsi"/>
          <w:bCs/>
          <w:i/>
          <w:sz w:val="24"/>
          <w:szCs w:val="24"/>
        </w:rPr>
        <w:t xml:space="preserve"> one place in continuation.</w:t>
      </w:r>
    </w:p>
    <w:p w14:paraId="7BD44392" w14:textId="77777777" w:rsidR="00AF7654" w:rsidRPr="0085289F" w:rsidRDefault="00AF7654" w:rsidP="00AF7654">
      <w:pPr>
        <w:pStyle w:val="ListParagraph"/>
        <w:numPr>
          <w:ilvl w:val="0"/>
          <w:numId w:val="1"/>
        </w:numPr>
        <w:spacing w:after="0"/>
        <w:jc w:val="both"/>
        <w:rPr>
          <w:rFonts w:cstheme="minorHAnsi"/>
          <w:bCs/>
          <w:i/>
          <w:sz w:val="24"/>
          <w:szCs w:val="24"/>
        </w:rPr>
      </w:pPr>
      <w:r w:rsidRPr="0085289F">
        <w:rPr>
          <w:rFonts w:cstheme="minorHAnsi"/>
          <w:bCs/>
          <w:i/>
          <w:sz w:val="24"/>
          <w:szCs w:val="24"/>
        </w:rPr>
        <w:t xml:space="preserve">Answers should be brief and to the point. </w:t>
      </w:r>
    </w:p>
    <w:p w14:paraId="193138D8" w14:textId="77777777" w:rsidR="000C6F0D" w:rsidRPr="0085289F" w:rsidRDefault="000C6F0D" w:rsidP="00AA0EE8">
      <w:pPr>
        <w:pStyle w:val="ListParagraph"/>
        <w:numPr>
          <w:ilvl w:val="0"/>
          <w:numId w:val="1"/>
        </w:numPr>
        <w:pBdr>
          <w:bottom w:val="single" w:sz="6" w:space="10" w:color="auto"/>
        </w:pBdr>
        <w:spacing w:after="0"/>
        <w:jc w:val="both"/>
        <w:rPr>
          <w:rFonts w:cstheme="minorHAnsi"/>
          <w:bCs/>
          <w:i/>
          <w:sz w:val="24"/>
          <w:szCs w:val="24"/>
        </w:rPr>
      </w:pPr>
      <w:r w:rsidRPr="0085289F">
        <w:rPr>
          <w:rFonts w:cstheme="minorHAnsi"/>
          <w:bCs/>
          <w:i/>
          <w:sz w:val="24"/>
          <w:szCs w:val="24"/>
        </w:rPr>
        <w:t>Do not write</w:t>
      </w:r>
      <w:r w:rsidR="0035261D" w:rsidRPr="0085289F">
        <w:rPr>
          <w:rFonts w:cstheme="minorHAnsi"/>
          <w:bCs/>
          <w:i/>
          <w:sz w:val="24"/>
          <w:szCs w:val="24"/>
        </w:rPr>
        <w:t xml:space="preserve"> anything </w:t>
      </w:r>
      <w:r w:rsidRPr="0085289F">
        <w:rPr>
          <w:rFonts w:cstheme="minorHAnsi"/>
          <w:bCs/>
          <w:i/>
          <w:sz w:val="24"/>
          <w:szCs w:val="24"/>
        </w:rPr>
        <w:t>on the question paper except your roll number</w:t>
      </w:r>
      <w:r w:rsidR="00AF7654" w:rsidRPr="0085289F">
        <w:rPr>
          <w:rFonts w:cstheme="minorHAnsi"/>
          <w:bCs/>
          <w:i/>
          <w:sz w:val="24"/>
          <w:szCs w:val="24"/>
        </w:rPr>
        <w:t>.</w:t>
      </w:r>
    </w:p>
    <w:p w14:paraId="105E733D" w14:textId="77777777" w:rsidR="00AF7654" w:rsidRPr="0085289F" w:rsidRDefault="00AF7654" w:rsidP="00AF7654">
      <w:pPr>
        <w:spacing w:after="0"/>
        <w:ind w:left="360"/>
        <w:jc w:val="both"/>
        <w:rPr>
          <w:rFonts w:cstheme="minorHAnsi"/>
          <w:bCs/>
          <w:i/>
          <w:sz w:val="24"/>
          <w:szCs w:val="24"/>
        </w:rPr>
      </w:pPr>
    </w:p>
    <w:p w14:paraId="2E373679" w14:textId="47FC810B" w:rsidR="00F022AC" w:rsidRPr="0085289F" w:rsidRDefault="00F022AC" w:rsidP="00F022AC">
      <w:pPr>
        <w:spacing w:after="0"/>
        <w:jc w:val="both"/>
        <w:rPr>
          <w:rFonts w:cstheme="minorHAnsi"/>
          <w:color w:val="0D0D0D"/>
          <w:sz w:val="24"/>
          <w:szCs w:val="24"/>
          <w:shd w:val="clear" w:color="auto" w:fill="FFFFFF"/>
        </w:rPr>
      </w:pPr>
      <w:r w:rsidRPr="0085289F">
        <w:rPr>
          <w:rFonts w:eastAsia="Times New Roman" w:cstheme="minorHAnsi"/>
          <w:color w:val="0E101A"/>
          <w:sz w:val="24"/>
          <w:szCs w:val="24"/>
          <w:lang w:val="en-IN" w:eastAsia="en-IN"/>
        </w:rPr>
        <w:t xml:space="preserve">Q1) </w:t>
      </w:r>
      <w:r w:rsidRPr="0085289F">
        <w:rPr>
          <w:rFonts w:cstheme="minorHAnsi"/>
          <w:color w:val="0D0D0D"/>
          <w:sz w:val="24"/>
          <w:szCs w:val="24"/>
          <w:shd w:val="clear" w:color="auto" w:fill="FFFFFF"/>
        </w:rPr>
        <w:t xml:space="preserve">In the landscape of investment banking, understanding its historical evolution and the intricate interplay of its components is crucial. Delving into the portfolio characteristics and structural dynamics of investment banking, critically examine its evolution, including both its successes and pitfalls. </w:t>
      </w:r>
      <w:r w:rsidR="004A5CCA" w:rsidRPr="004A5CCA">
        <w:rPr>
          <w:rFonts w:cstheme="minorHAnsi"/>
          <w:b/>
          <w:i/>
          <w:color w:val="0D0D0D"/>
          <w:sz w:val="24"/>
          <w:szCs w:val="24"/>
          <w:shd w:val="clear" w:color="auto" w:fill="FFFFFF"/>
        </w:rPr>
        <w:t>Discover</w:t>
      </w:r>
      <w:r w:rsidRPr="0085289F">
        <w:rPr>
          <w:rFonts w:cstheme="minorHAnsi"/>
          <w:color w:val="0D0D0D"/>
          <w:sz w:val="24"/>
          <w:szCs w:val="24"/>
          <w:shd w:val="clear" w:color="auto" w:fill="FFFFFF"/>
        </w:rPr>
        <w:t xml:space="preserve"> how historical events have shaped the current landscape of investment banking and identify potential dark sides or ethical dilemmas within the industry. Utilizing case studies and real-world examples, discuss the implications of these historical perspectives on contemporary investment banking practices. Additionally, consider how regulatory frameworks have evolved and the impact they have on the industry's functioning. Finally, propose strategies to mitigate any negative aspects while maximizing the positive contributions of investment banking to the global financial system. </w:t>
      </w:r>
      <w:r w:rsidR="00FB2858">
        <w:rPr>
          <w:rFonts w:cstheme="minorHAnsi"/>
          <w:color w:val="0D0D0D"/>
          <w:sz w:val="24"/>
          <w:szCs w:val="24"/>
          <w:shd w:val="clear" w:color="auto" w:fill="FFFFFF"/>
        </w:rPr>
        <w:tab/>
      </w:r>
      <w:r w:rsidR="00FB2858">
        <w:rPr>
          <w:rFonts w:cstheme="minorHAnsi"/>
          <w:color w:val="0D0D0D"/>
          <w:sz w:val="24"/>
          <w:szCs w:val="24"/>
          <w:shd w:val="clear" w:color="auto" w:fill="FFFFFF"/>
        </w:rPr>
        <w:tab/>
        <w:t xml:space="preserve">         </w:t>
      </w:r>
      <w:r w:rsidR="00FB2858">
        <w:rPr>
          <w:rFonts w:cstheme="minorHAnsi"/>
          <w:b/>
          <w:bCs/>
          <w:color w:val="0D0D0D"/>
          <w:sz w:val="24"/>
          <w:szCs w:val="24"/>
          <w:shd w:val="clear" w:color="auto" w:fill="FFFFFF"/>
        </w:rPr>
        <w:t>(</w:t>
      </w:r>
      <w:r w:rsidR="00FB2858">
        <w:rPr>
          <w:rFonts w:eastAsia="Times New Roman" w:cstheme="minorHAnsi"/>
          <w:b/>
          <w:color w:val="0E101A"/>
          <w:sz w:val="24"/>
          <w:szCs w:val="24"/>
          <w:lang w:val="en-IN" w:eastAsia="en-IN"/>
        </w:rPr>
        <w:t>8</w:t>
      </w:r>
      <w:r w:rsidR="00FB2858" w:rsidRPr="0085289F">
        <w:rPr>
          <w:rFonts w:eastAsia="Times New Roman" w:cstheme="minorHAnsi"/>
          <w:b/>
          <w:color w:val="0E101A"/>
          <w:sz w:val="24"/>
          <w:szCs w:val="24"/>
          <w:lang w:val="en-IN" w:eastAsia="en-IN"/>
        </w:rPr>
        <w:t xml:space="preserve"> marks</w:t>
      </w:r>
      <w:r w:rsidR="00FB2858">
        <w:rPr>
          <w:rFonts w:eastAsia="Times New Roman" w:cstheme="minorHAnsi"/>
          <w:b/>
          <w:color w:val="0E101A"/>
          <w:sz w:val="24"/>
          <w:szCs w:val="24"/>
          <w:lang w:val="en-IN" w:eastAsia="en-IN"/>
        </w:rPr>
        <w:t>)</w:t>
      </w:r>
    </w:p>
    <w:p w14:paraId="17317D07" w14:textId="77777777" w:rsidR="00F022AC" w:rsidRPr="0085289F" w:rsidRDefault="00F022AC" w:rsidP="00F022AC">
      <w:pPr>
        <w:spacing w:after="0"/>
        <w:jc w:val="both"/>
        <w:rPr>
          <w:rFonts w:eastAsia="Times New Roman" w:cstheme="minorHAnsi"/>
          <w:b/>
          <w:sz w:val="24"/>
          <w:szCs w:val="24"/>
        </w:rPr>
      </w:pPr>
    </w:p>
    <w:p w14:paraId="6AF84EB8" w14:textId="77777777" w:rsidR="00F022AC" w:rsidRPr="0085289F" w:rsidRDefault="00F022AC" w:rsidP="00A80CE0">
      <w:pPr>
        <w:pStyle w:val="NormalWeb"/>
        <w:spacing w:before="0" w:beforeAutospacing="0" w:after="0" w:afterAutospacing="0" w:line="276" w:lineRule="auto"/>
        <w:jc w:val="both"/>
        <w:rPr>
          <w:rFonts w:asciiTheme="minorHAnsi" w:hAnsiTheme="minorHAnsi" w:cstheme="minorHAnsi"/>
          <w:b/>
        </w:rPr>
      </w:pPr>
      <w:r w:rsidRPr="0085289F">
        <w:rPr>
          <w:rFonts w:asciiTheme="minorHAnsi" w:hAnsiTheme="minorHAnsi" w:cstheme="minorHAnsi"/>
          <w:b/>
        </w:rPr>
        <w:t>Q2</w:t>
      </w:r>
      <w:r w:rsidR="00A80CE0" w:rsidRPr="0085289F">
        <w:rPr>
          <w:rFonts w:asciiTheme="minorHAnsi" w:hAnsiTheme="minorHAnsi" w:cstheme="minorHAnsi"/>
          <w:b/>
        </w:rPr>
        <w:t xml:space="preserve">. </w:t>
      </w:r>
      <w:r w:rsidRPr="0085289F">
        <w:rPr>
          <w:rFonts w:asciiTheme="minorHAnsi" w:hAnsiTheme="minorHAnsi" w:cstheme="minorHAnsi"/>
          <w:b/>
        </w:rPr>
        <w:t>Read the case and answer the questions following the case:</w:t>
      </w:r>
    </w:p>
    <w:p w14:paraId="52F0E48D" w14:textId="77777777" w:rsidR="00F022AC" w:rsidRPr="0085289F" w:rsidRDefault="00F022AC" w:rsidP="00A80CE0">
      <w:pPr>
        <w:pStyle w:val="NormalWeb"/>
        <w:spacing w:before="0" w:beforeAutospacing="0" w:after="0" w:afterAutospacing="0" w:line="276" w:lineRule="auto"/>
        <w:jc w:val="both"/>
        <w:rPr>
          <w:rFonts w:asciiTheme="minorHAnsi" w:hAnsiTheme="minorHAnsi" w:cstheme="minorHAnsi"/>
          <w:b/>
        </w:rPr>
      </w:pPr>
    </w:p>
    <w:p w14:paraId="7E7CCADD" w14:textId="77777777" w:rsidR="00A80CE0" w:rsidRPr="0085289F" w:rsidRDefault="00A80CE0" w:rsidP="00A80CE0">
      <w:pPr>
        <w:pStyle w:val="NormalWeb"/>
        <w:spacing w:before="0" w:beforeAutospacing="0" w:after="0" w:afterAutospacing="0" w:line="276" w:lineRule="auto"/>
        <w:jc w:val="both"/>
        <w:rPr>
          <w:rFonts w:asciiTheme="minorHAnsi" w:hAnsiTheme="minorHAnsi" w:cstheme="minorHAnsi"/>
          <w:color w:val="0E101A"/>
        </w:rPr>
      </w:pPr>
      <w:proofErr w:type="spellStart"/>
      <w:r w:rsidRPr="0085289F">
        <w:rPr>
          <w:rFonts w:asciiTheme="minorHAnsi" w:hAnsiTheme="minorHAnsi" w:cstheme="minorHAnsi"/>
          <w:color w:val="0E101A"/>
        </w:rPr>
        <w:t>GreenFuel</w:t>
      </w:r>
      <w:proofErr w:type="spellEnd"/>
      <w:r w:rsidRPr="0085289F">
        <w:rPr>
          <w:rFonts w:asciiTheme="minorHAnsi" w:hAnsiTheme="minorHAnsi" w:cstheme="minorHAnsi"/>
          <w:color w:val="0E101A"/>
        </w:rPr>
        <w:t xml:space="preserve"> Nutrition is a burgeoning start-up founded by two passionate entrepreneurs, Emily and Alex. Their vision is to disrupt the fitness and nutrition industry by offering plant-based protein supplements that are both sustainable and organic. As they embark on their entrepreneurial journey, Emily and Alex face the critical decision of securing financing to scale their venture. They must carefully evaluate various funding options and consider the implications of each choice on the company's growth trajectory and long-term success.</w:t>
      </w:r>
    </w:p>
    <w:p w14:paraId="147F71BB" w14:textId="7C48734D" w:rsidR="00A80CE0" w:rsidRPr="00FB2858" w:rsidRDefault="00A80CE0" w:rsidP="00FB2858">
      <w:pPr>
        <w:pStyle w:val="NormalWeb"/>
        <w:spacing w:before="0" w:beforeAutospacing="0" w:after="0" w:afterAutospacing="0" w:line="276" w:lineRule="auto"/>
        <w:jc w:val="both"/>
        <w:rPr>
          <w:rFonts w:asciiTheme="minorHAnsi" w:hAnsiTheme="minorHAnsi" w:cstheme="minorHAnsi"/>
          <w:b/>
        </w:rPr>
      </w:pPr>
      <w:r w:rsidRPr="0085289F">
        <w:rPr>
          <w:rFonts w:cstheme="minorHAnsi"/>
          <w:color w:val="0E101A"/>
        </w:rPr>
        <w:t xml:space="preserve">The co-founders have identified several potential investors for their seed round, each offering unique advantages and challenges. Meanwhile, they are also exploring securing venture capital funding to fuel their growth ambitions. Emily and Alex recognize the importance of understanding </w:t>
      </w:r>
      <w:r w:rsidRPr="0085289F">
        <w:rPr>
          <w:rFonts w:cstheme="minorHAnsi"/>
          <w:color w:val="0E101A"/>
        </w:rPr>
        <w:lastRenderedPageBreak/>
        <w:t xml:space="preserve">venture capital valuation methods to negotiate </w:t>
      </w:r>
      <w:proofErr w:type="spellStart"/>
      <w:r w:rsidRPr="0085289F">
        <w:rPr>
          <w:rFonts w:cstheme="minorHAnsi"/>
          <w:color w:val="0E101A"/>
        </w:rPr>
        <w:t>favourable</w:t>
      </w:r>
      <w:proofErr w:type="spellEnd"/>
      <w:r w:rsidRPr="0085289F">
        <w:rPr>
          <w:rFonts w:cstheme="minorHAnsi"/>
          <w:color w:val="0E101A"/>
        </w:rPr>
        <w:t xml:space="preserve"> terms and ensure the continued success of </w:t>
      </w:r>
      <w:proofErr w:type="spellStart"/>
      <w:r w:rsidRPr="0085289F">
        <w:rPr>
          <w:rFonts w:cstheme="minorHAnsi"/>
          <w:color w:val="0E101A"/>
        </w:rPr>
        <w:t>GreenFuel</w:t>
      </w:r>
      <w:proofErr w:type="spellEnd"/>
      <w:r w:rsidRPr="0085289F">
        <w:rPr>
          <w:rFonts w:cstheme="minorHAnsi"/>
          <w:color w:val="0E101A"/>
        </w:rPr>
        <w:t xml:space="preserve"> Nutrition.</w:t>
      </w:r>
      <w:r w:rsidR="005A6136" w:rsidRPr="0085289F">
        <w:rPr>
          <w:rFonts w:cstheme="minorHAnsi"/>
          <w:color w:val="0E101A"/>
        </w:rPr>
        <w:tab/>
      </w:r>
      <w:r w:rsidR="005A6136" w:rsidRPr="0085289F">
        <w:rPr>
          <w:rFonts w:cstheme="minorHAnsi"/>
          <w:color w:val="0E101A"/>
        </w:rPr>
        <w:tab/>
      </w:r>
      <w:r w:rsidR="005A6136" w:rsidRPr="0085289F">
        <w:rPr>
          <w:rFonts w:cstheme="minorHAnsi"/>
          <w:color w:val="0E101A"/>
        </w:rPr>
        <w:tab/>
      </w:r>
      <w:r w:rsidR="005A6136" w:rsidRPr="0085289F">
        <w:rPr>
          <w:rFonts w:cstheme="minorHAnsi"/>
          <w:color w:val="0E101A"/>
        </w:rPr>
        <w:tab/>
      </w:r>
      <w:r w:rsidR="00FB2858">
        <w:rPr>
          <w:rFonts w:cstheme="minorHAnsi"/>
          <w:color w:val="0E101A"/>
        </w:rPr>
        <w:tab/>
      </w:r>
      <w:r w:rsidR="00FB2858">
        <w:rPr>
          <w:rFonts w:cstheme="minorHAnsi"/>
          <w:color w:val="0E101A"/>
        </w:rPr>
        <w:tab/>
      </w:r>
      <w:r w:rsidR="00FB2858">
        <w:rPr>
          <w:rFonts w:cstheme="minorHAnsi"/>
          <w:color w:val="0E101A"/>
        </w:rPr>
        <w:tab/>
      </w:r>
      <w:r w:rsidR="00FB2858">
        <w:rPr>
          <w:rFonts w:cstheme="minorHAnsi"/>
          <w:color w:val="0E101A"/>
        </w:rPr>
        <w:tab/>
        <w:t xml:space="preserve">      </w:t>
      </w:r>
      <w:r w:rsidR="00FB2858">
        <w:rPr>
          <w:rFonts w:asciiTheme="minorHAnsi" w:hAnsiTheme="minorHAnsi" w:cstheme="minorHAnsi"/>
          <w:b/>
        </w:rPr>
        <w:t>(</w:t>
      </w:r>
      <w:r w:rsidR="00DB1393">
        <w:rPr>
          <w:rFonts w:asciiTheme="minorHAnsi" w:hAnsiTheme="minorHAnsi" w:cstheme="minorHAnsi"/>
          <w:b/>
        </w:rPr>
        <w:t>9</w:t>
      </w:r>
      <w:r w:rsidR="00FB2858" w:rsidRPr="0085289F">
        <w:rPr>
          <w:rFonts w:asciiTheme="minorHAnsi" w:hAnsiTheme="minorHAnsi" w:cstheme="minorHAnsi"/>
          <w:b/>
        </w:rPr>
        <w:t xml:space="preserve"> marks</w:t>
      </w:r>
      <w:r w:rsidR="00FB2858">
        <w:rPr>
          <w:rFonts w:asciiTheme="minorHAnsi" w:hAnsiTheme="minorHAnsi" w:cstheme="minorHAnsi"/>
          <w:b/>
        </w:rPr>
        <w:t>)</w:t>
      </w:r>
    </w:p>
    <w:p w14:paraId="783AC6B5" w14:textId="77777777" w:rsidR="00A80CE0" w:rsidRPr="0085289F" w:rsidRDefault="00A80CE0" w:rsidP="00A80CE0">
      <w:pPr>
        <w:spacing w:after="0"/>
        <w:jc w:val="both"/>
        <w:rPr>
          <w:rFonts w:eastAsia="Times New Roman" w:cstheme="minorHAnsi"/>
          <w:color w:val="0E101A"/>
          <w:sz w:val="24"/>
          <w:szCs w:val="24"/>
          <w:lang w:eastAsia="en-IN"/>
        </w:rPr>
      </w:pPr>
    </w:p>
    <w:p w14:paraId="01E5FB4E" w14:textId="71247ECB" w:rsidR="00A80CE0" w:rsidRPr="00DB1393" w:rsidRDefault="00A80CE0" w:rsidP="00A80CE0">
      <w:pPr>
        <w:pStyle w:val="ListParagraph"/>
        <w:numPr>
          <w:ilvl w:val="0"/>
          <w:numId w:val="14"/>
        </w:numPr>
        <w:spacing w:after="0"/>
        <w:jc w:val="both"/>
        <w:rPr>
          <w:rFonts w:eastAsia="Times New Roman" w:cstheme="minorHAnsi"/>
          <w:b/>
          <w:bCs/>
          <w:color w:val="0E101A"/>
          <w:sz w:val="24"/>
          <w:szCs w:val="24"/>
          <w:lang w:eastAsia="en-IN"/>
        </w:rPr>
      </w:pPr>
      <w:r w:rsidRPr="0085289F">
        <w:rPr>
          <w:rFonts w:eastAsia="Times New Roman" w:cstheme="minorHAnsi"/>
          <w:color w:val="0E101A"/>
          <w:sz w:val="24"/>
          <w:szCs w:val="24"/>
          <w:lang w:eastAsia="en-IN"/>
        </w:rPr>
        <w:t xml:space="preserve">As Emily and Alex consider various investors for their seed round, they must weigh the merits and demerits of each option. Based on the information in the case study, </w:t>
      </w:r>
      <w:r w:rsidR="004A5CCA" w:rsidRPr="004A5CCA">
        <w:rPr>
          <w:rFonts w:eastAsia="Times New Roman" w:cstheme="minorHAnsi"/>
          <w:b/>
          <w:i/>
          <w:color w:val="0E101A"/>
          <w:sz w:val="24"/>
          <w:szCs w:val="24"/>
          <w:lang w:eastAsia="en-IN"/>
        </w:rPr>
        <w:t>list</w:t>
      </w:r>
      <w:r w:rsidRPr="0085289F">
        <w:rPr>
          <w:rFonts w:eastAsia="Times New Roman" w:cstheme="minorHAnsi"/>
          <w:color w:val="0E101A"/>
          <w:sz w:val="24"/>
          <w:szCs w:val="24"/>
          <w:lang w:eastAsia="en-IN"/>
        </w:rPr>
        <w:t xml:space="preserve"> two potential investors and </w:t>
      </w:r>
      <w:r w:rsidR="004A5CCA">
        <w:rPr>
          <w:rFonts w:eastAsia="Times New Roman" w:cstheme="minorHAnsi"/>
          <w:b/>
          <w:i/>
          <w:color w:val="0E101A"/>
          <w:sz w:val="24"/>
          <w:szCs w:val="24"/>
          <w:lang w:eastAsia="en-IN"/>
        </w:rPr>
        <w:t>examine</w:t>
      </w:r>
      <w:r w:rsidRPr="0085289F">
        <w:rPr>
          <w:rFonts w:eastAsia="Times New Roman" w:cstheme="minorHAnsi"/>
          <w:color w:val="0E101A"/>
          <w:sz w:val="24"/>
          <w:szCs w:val="24"/>
          <w:lang w:eastAsia="en-IN"/>
        </w:rPr>
        <w:t xml:space="preserve"> the implications of raising funds from each. Consider factors such as strategic alignment, financial terms, and long-term value creation for </w:t>
      </w:r>
      <w:proofErr w:type="spellStart"/>
      <w:r w:rsidRPr="0085289F">
        <w:rPr>
          <w:rFonts w:eastAsia="Times New Roman" w:cstheme="minorHAnsi"/>
          <w:color w:val="0E101A"/>
          <w:sz w:val="24"/>
          <w:szCs w:val="24"/>
          <w:lang w:eastAsia="en-IN"/>
        </w:rPr>
        <w:t>GreenFuel</w:t>
      </w:r>
      <w:proofErr w:type="spellEnd"/>
      <w:r w:rsidRPr="0085289F">
        <w:rPr>
          <w:rFonts w:eastAsia="Times New Roman" w:cstheme="minorHAnsi"/>
          <w:color w:val="0E101A"/>
          <w:sz w:val="24"/>
          <w:szCs w:val="24"/>
          <w:lang w:eastAsia="en-IN"/>
        </w:rPr>
        <w:t xml:space="preserve"> Nutrition. </w:t>
      </w:r>
      <w:r w:rsidRPr="0085289F">
        <w:rPr>
          <w:rFonts w:eastAsia="Times New Roman" w:cstheme="minorHAnsi"/>
          <w:color w:val="0E101A"/>
          <w:sz w:val="24"/>
          <w:szCs w:val="24"/>
          <w:lang w:eastAsia="en-IN"/>
        </w:rPr>
        <w:tab/>
      </w:r>
      <w:r w:rsidRPr="0085289F">
        <w:rPr>
          <w:rFonts w:eastAsia="Times New Roman" w:cstheme="minorHAnsi"/>
          <w:color w:val="0E101A"/>
          <w:sz w:val="24"/>
          <w:szCs w:val="24"/>
          <w:lang w:eastAsia="en-IN"/>
        </w:rPr>
        <w:tab/>
      </w:r>
      <w:r w:rsidRPr="0085289F">
        <w:rPr>
          <w:rFonts w:eastAsia="Times New Roman" w:cstheme="minorHAnsi"/>
          <w:color w:val="0E101A"/>
          <w:sz w:val="24"/>
          <w:szCs w:val="24"/>
          <w:lang w:eastAsia="en-IN"/>
        </w:rPr>
        <w:tab/>
      </w:r>
      <w:r w:rsidRPr="0085289F">
        <w:rPr>
          <w:rFonts w:eastAsia="Times New Roman" w:cstheme="minorHAnsi"/>
          <w:color w:val="0E101A"/>
          <w:sz w:val="24"/>
          <w:szCs w:val="24"/>
          <w:lang w:eastAsia="en-IN"/>
        </w:rPr>
        <w:tab/>
      </w:r>
      <w:r w:rsidRPr="0085289F">
        <w:rPr>
          <w:rFonts w:eastAsia="Times New Roman" w:cstheme="minorHAnsi"/>
          <w:color w:val="0E101A"/>
          <w:sz w:val="24"/>
          <w:szCs w:val="24"/>
          <w:lang w:eastAsia="en-IN"/>
        </w:rPr>
        <w:tab/>
      </w:r>
      <w:r w:rsidR="00DB1393">
        <w:rPr>
          <w:rFonts w:eastAsia="Times New Roman" w:cstheme="minorHAnsi"/>
          <w:color w:val="0E101A"/>
          <w:sz w:val="24"/>
          <w:szCs w:val="24"/>
          <w:lang w:eastAsia="en-IN"/>
        </w:rPr>
        <w:t xml:space="preserve">         </w:t>
      </w:r>
      <w:r w:rsidRPr="00DB1393">
        <w:rPr>
          <w:rFonts w:eastAsia="Times New Roman" w:cstheme="minorHAnsi"/>
          <w:b/>
          <w:bCs/>
          <w:color w:val="0E101A"/>
          <w:sz w:val="24"/>
          <w:szCs w:val="24"/>
          <w:lang w:eastAsia="en-IN"/>
        </w:rPr>
        <w:t>(4 marks)</w:t>
      </w:r>
    </w:p>
    <w:p w14:paraId="6EE68206" w14:textId="77777777" w:rsidR="00A80CE0" w:rsidRPr="0085289F" w:rsidRDefault="00A80CE0" w:rsidP="00A80CE0">
      <w:pPr>
        <w:spacing w:after="0"/>
        <w:ind w:left="720"/>
        <w:jc w:val="both"/>
        <w:rPr>
          <w:rFonts w:eastAsia="Times New Roman" w:cstheme="minorHAnsi"/>
          <w:color w:val="0E101A"/>
          <w:sz w:val="24"/>
          <w:szCs w:val="24"/>
          <w:lang w:eastAsia="en-IN"/>
        </w:rPr>
      </w:pPr>
    </w:p>
    <w:p w14:paraId="1C172435" w14:textId="69226697" w:rsidR="00A80CE0" w:rsidRPr="004A5CCA" w:rsidRDefault="00A80CE0" w:rsidP="00EA38E2">
      <w:pPr>
        <w:pStyle w:val="ListParagraph"/>
        <w:numPr>
          <w:ilvl w:val="0"/>
          <w:numId w:val="14"/>
        </w:numPr>
        <w:spacing w:after="0"/>
        <w:jc w:val="both"/>
        <w:rPr>
          <w:rFonts w:eastAsia="Times New Roman" w:cstheme="minorHAnsi"/>
          <w:b/>
          <w:sz w:val="24"/>
          <w:szCs w:val="24"/>
        </w:rPr>
      </w:pPr>
      <w:r w:rsidRPr="004A5CCA">
        <w:rPr>
          <w:rFonts w:eastAsia="Times New Roman" w:cstheme="minorHAnsi"/>
          <w:color w:val="0E101A"/>
          <w:sz w:val="24"/>
          <w:szCs w:val="24"/>
          <w:lang w:eastAsia="en-IN"/>
        </w:rPr>
        <w:t xml:space="preserve">Utilizing the venture capital valuation method, analyze the scenario presented in the case study. Assume </w:t>
      </w:r>
      <w:proofErr w:type="spellStart"/>
      <w:r w:rsidRPr="004A5CCA">
        <w:rPr>
          <w:rFonts w:eastAsia="Times New Roman" w:cstheme="minorHAnsi"/>
          <w:color w:val="0E101A"/>
          <w:sz w:val="24"/>
          <w:szCs w:val="24"/>
          <w:lang w:eastAsia="en-IN"/>
        </w:rPr>
        <w:t>GreenFuel</w:t>
      </w:r>
      <w:proofErr w:type="spellEnd"/>
      <w:r w:rsidRPr="004A5CCA">
        <w:rPr>
          <w:rFonts w:eastAsia="Times New Roman" w:cstheme="minorHAnsi"/>
          <w:color w:val="0E101A"/>
          <w:sz w:val="24"/>
          <w:szCs w:val="24"/>
          <w:lang w:eastAsia="en-IN"/>
        </w:rPr>
        <w:t xml:space="preserve"> Nutrition raises its first equity funding round by issuing 150,000 shares to external investors before engaging with venture capitalists. If a VC expresses interest in investing and offers a share price of $12, calculate the distribution of ownership between Emily, Alex, and the VC. Furthermore, determine the pre-money and post-money valuations of </w:t>
      </w:r>
      <w:proofErr w:type="spellStart"/>
      <w:r w:rsidRPr="004A5CCA">
        <w:rPr>
          <w:rFonts w:eastAsia="Times New Roman" w:cstheme="minorHAnsi"/>
          <w:color w:val="0E101A"/>
          <w:sz w:val="24"/>
          <w:szCs w:val="24"/>
          <w:lang w:eastAsia="en-IN"/>
        </w:rPr>
        <w:t>GreenFuel</w:t>
      </w:r>
      <w:proofErr w:type="spellEnd"/>
      <w:r w:rsidRPr="004A5CCA">
        <w:rPr>
          <w:rFonts w:eastAsia="Times New Roman" w:cstheme="minorHAnsi"/>
          <w:color w:val="0E101A"/>
          <w:sz w:val="24"/>
          <w:szCs w:val="24"/>
          <w:lang w:eastAsia="en-IN"/>
        </w:rPr>
        <w:t xml:space="preserve"> Nutrition following the VC investment. </w:t>
      </w:r>
      <w:r w:rsidR="004A5CCA" w:rsidRPr="004A5CCA">
        <w:rPr>
          <w:rFonts w:eastAsia="Times New Roman" w:cstheme="minorHAnsi"/>
          <w:b/>
          <w:i/>
          <w:color w:val="0E101A"/>
          <w:sz w:val="24"/>
          <w:szCs w:val="24"/>
          <w:lang w:eastAsia="en-IN"/>
        </w:rPr>
        <w:t>Infer</w:t>
      </w:r>
      <w:r w:rsidRPr="004A5CCA">
        <w:rPr>
          <w:rFonts w:eastAsia="Times New Roman" w:cstheme="minorHAnsi"/>
          <w:color w:val="0E101A"/>
          <w:sz w:val="24"/>
          <w:szCs w:val="24"/>
          <w:lang w:eastAsia="en-IN"/>
        </w:rPr>
        <w:t xml:space="preserve"> the implications of these valuations for the company's future fundraising efforts and strategic direction. </w:t>
      </w:r>
      <w:r w:rsidRPr="004A5CCA">
        <w:rPr>
          <w:rFonts w:eastAsia="Times New Roman" w:cstheme="minorHAnsi"/>
          <w:color w:val="0E101A"/>
          <w:sz w:val="24"/>
          <w:szCs w:val="24"/>
          <w:lang w:eastAsia="en-IN"/>
        </w:rPr>
        <w:tab/>
      </w:r>
      <w:r w:rsidRPr="004A5CCA">
        <w:rPr>
          <w:rFonts w:eastAsia="Times New Roman" w:cstheme="minorHAnsi"/>
          <w:color w:val="0E101A"/>
          <w:sz w:val="24"/>
          <w:szCs w:val="24"/>
          <w:lang w:eastAsia="en-IN"/>
        </w:rPr>
        <w:tab/>
      </w:r>
      <w:r w:rsidR="004A5CCA" w:rsidRPr="004A5CCA">
        <w:rPr>
          <w:rFonts w:eastAsia="Times New Roman" w:cstheme="minorHAnsi"/>
          <w:color w:val="0E101A"/>
          <w:sz w:val="24"/>
          <w:szCs w:val="24"/>
          <w:lang w:eastAsia="en-IN"/>
        </w:rPr>
        <w:tab/>
      </w:r>
      <w:r w:rsidR="004A5CCA" w:rsidRPr="004A5CCA">
        <w:rPr>
          <w:rFonts w:eastAsia="Times New Roman" w:cstheme="minorHAnsi"/>
          <w:color w:val="0E101A"/>
          <w:sz w:val="24"/>
          <w:szCs w:val="24"/>
          <w:lang w:eastAsia="en-IN"/>
        </w:rPr>
        <w:tab/>
      </w:r>
      <w:r w:rsidR="00DB1393">
        <w:rPr>
          <w:rFonts w:eastAsia="Times New Roman" w:cstheme="minorHAnsi"/>
          <w:color w:val="0E101A"/>
          <w:sz w:val="24"/>
          <w:szCs w:val="24"/>
          <w:lang w:eastAsia="en-IN"/>
        </w:rPr>
        <w:t xml:space="preserve">         </w:t>
      </w:r>
      <w:r w:rsidRPr="00DB1393">
        <w:rPr>
          <w:rFonts w:eastAsia="Times New Roman" w:cstheme="minorHAnsi"/>
          <w:b/>
          <w:bCs/>
          <w:color w:val="0E101A"/>
          <w:sz w:val="24"/>
          <w:szCs w:val="24"/>
          <w:lang w:eastAsia="en-IN"/>
        </w:rPr>
        <w:t>(</w:t>
      </w:r>
      <w:r w:rsidR="004A3C31" w:rsidRPr="00DB1393">
        <w:rPr>
          <w:rFonts w:eastAsia="Times New Roman" w:cstheme="minorHAnsi"/>
          <w:b/>
          <w:bCs/>
          <w:color w:val="0E101A"/>
          <w:sz w:val="24"/>
          <w:szCs w:val="24"/>
          <w:lang w:eastAsia="en-IN"/>
        </w:rPr>
        <w:t>5</w:t>
      </w:r>
      <w:r w:rsidRPr="00DB1393">
        <w:rPr>
          <w:rFonts w:eastAsia="Times New Roman" w:cstheme="minorHAnsi"/>
          <w:b/>
          <w:bCs/>
          <w:color w:val="0E101A"/>
          <w:sz w:val="24"/>
          <w:szCs w:val="24"/>
          <w:lang w:eastAsia="en-IN"/>
        </w:rPr>
        <w:t xml:space="preserve"> Marks)</w:t>
      </w:r>
    </w:p>
    <w:p w14:paraId="3ED4D1C2" w14:textId="77777777" w:rsidR="0085289F" w:rsidRPr="0085289F" w:rsidRDefault="0085289F" w:rsidP="005A6136">
      <w:pPr>
        <w:pStyle w:val="NormalWeb"/>
        <w:spacing w:before="0" w:beforeAutospacing="0" w:after="0" w:afterAutospacing="0" w:line="276" w:lineRule="auto"/>
        <w:rPr>
          <w:rFonts w:asciiTheme="minorHAnsi" w:hAnsiTheme="minorHAnsi" w:cstheme="minorHAnsi"/>
          <w:b/>
        </w:rPr>
      </w:pPr>
    </w:p>
    <w:p w14:paraId="057FC46A" w14:textId="77777777" w:rsidR="0085289F" w:rsidRPr="0085289F" w:rsidRDefault="0085289F" w:rsidP="005A6136">
      <w:pPr>
        <w:pStyle w:val="NormalWeb"/>
        <w:spacing w:before="0" w:beforeAutospacing="0" w:after="0" w:afterAutospacing="0" w:line="276" w:lineRule="auto"/>
        <w:rPr>
          <w:rFonts w:asciiTheme="minorHAnsi" w:hAnsiTheme="minorHAnsi" w:cstheme="minorHAnsi"/>
          <w:b/>
        </w:rPr>
      </w:pPr>
    </w:p>
    <w:p w14:paraId="119ECE2F" w14:textId="0ADB8135" w:rsidR="00F022AC" w:rsidRPr="0085289F" w:rsidRDefault="005A6136" w:rsidP="005A6136">
      <w:pPr>
        <w:pStyle w:val="NormalWeb"/>
        <w:spacing w:before="0" w:beforeAutospacing="0" w:after="0" w:afterAutospacing="0" w:line="276" w:lineRule="auto"/>
        <w:rPr>
          <w:rFonts w:asciiTheme="minorHAnsi" w:hAnsiTheme="minorHAnsi" w:cstheme="minorHAnsi"/>
          <w:b/>
        </w:rPr>
      </w:pPr>
      <w:r w:rsidRPr="0085289F">
        <w:rPr>
          <w:rFonts w:asciiTheme="minorHAnsi" w:hAnsiTheme="minorHAnsi" w:cstheme="minorHAnsi"/>
          <w:b/>
        </w:rPr>
        <w:t>Q</w:t>
      </w:r>
      <w:r w:rsidR="00F022AC" w:rsidRPr="0085289F">
        <w:rPr>
          <w:rFonts w:asciiTheme="minorHAnsi" w:hAnsiTheme="minorHAnsi" w:cstheme="minorHAnsi"/>
          <w:b/>
        </w:rPr>
        <w:t>3</w:t>
      </w:r>
      <w:r w:rsidRPr="0085289F">
        <w:rPr>
          <w:rFonts w:asciiTheme="minorHAnsi" w:hAnsiTheme="minorHAnsi" w:cstheme="minorHAnsi"/>
          <w:b/>
        </w:rPr>
        <w:t xml:space="preserve">. </w:t>
      </w:r>
      <w:r w:rsidR="00F022AC" w:rsidRPr="0085289F">
        <w:rPr>
          <w:rFonts w:asciiTheme="minorHAnsi" w:hAnsiTheme="minorHAnsi" w:cstheme="minorHAnsi"/>
          <w:b/>
        </w:rPr>
        <w:t xml:space="preserve"> Read the case and answer the questions following the case:</w:t>
      </w:r>
      <w:r w:rsidR="00DB1393">
        <w:rPr>
          <w:rFonts w:asciiTheme="minorHAnsi" w:hAnsiTheme="minorHAnsi" w:cstheme="minorHAnsi"/>
          <w:b/>
        </w:rPr>
        <w:t xml:space="preserve">                                  </w:t>
      </w:r>
      <w:proofErr w:type="gramStart"/>
      <w:r w:rsidR="00DB1393">
        <w:rPr>
          <w:rFonts w:asciiTheme="minorHAnsi" w:hAnsiTheme="minorHAnsi" w:cstheme="minorHAnsi"/>
          <w:b/>
        </w:rPr>
        <w:t xml:space="preserve">   (</w:t>
      </w:r>
      <w:proofErr w:type="gramEnd"/>
      <w:r w:rsidR="00DB1393">
        <w:rPr>
          <w:rFonts w:asciiTheme="minorHAnsi" w:hAnsiTheme="minorHAnsi" w:cstheme="minorHAnsi"/>
          <w:b/>
        </w:rPr>
        <w:t>7 Marks)</w:t>
      </w:r>
    </w:p>
    <w:p w14:paraId="145892FB" w14:textId="77777777" w:rsidR="00F022AC" w:rsidRPr="0085289F" w:rsidRDefault="00F022AC" w:rsidP="005A6136">
      <w:pPr>
        <w:pStyle w:val="NormalWeb"/>
        <w:spacing w:before="0" w:beforeAutospacing="0" w:after="0" w:afterAutospacing="0" w:line="276" w:lineRule="auto"/>
        <w:rPr>
          <w:rFonts w:asciiTheme="minorHAnsi" w:hAnsiTheme="minorHAnsi" w:cstheme="minorHAnsi"/>
          <w:b/>
        </w:rPr>
      </w:pPr>
    </w:p>
    <w:p w14:paraId="250B599D" w14:textId="77777777" w:rsidR="005A6136" w:rsidRPr="0085289F" w:rsidRDefault="005A6136" w:rsidP="004A5CCA">
      <w:pPr>
        <w:pStyle w:val="NormalWeb"/>
        <w:spacing w:before="0" w:beforeAutospacing="0" w:after="0" w:afterAutospacing="0" w:line="276" w:lineRule="auto"/>
        <w:jc w:val="both"/>
        <w:rPr>
          <w:rFonts w:asciiTheme="minorHAnsi" w:hAnsiTheme="minorHAnsi" w:cstheme="minorHAnsi"/>
          <w:color w:val="0E101A"/>
        </w:rPr>
      </w:pPr>
      <w:r w:rsidRPr="0085289F">
        <w:rPr>
          <w:rFonts w:asciiTheme="minorHAnsi" w:hAnsiTheme="minorHAnsi" w:cstheme="minorHAnsi"/>
          <w:b/>
        </w:rPr>
        <w:t xml:space="preserve"> </w:t>
      </w:r>
      <w:r w:rsidRPr="0085289F">
        <w:rPr>
          <w:rFonts w:asciiTheme="minorHAnsi" w:hAnsiTheme="minorHAnsi" w:cstheme="minorHAnsi"/>
          <w:color w:val="0E101A"/>
        </w:rPr>
        <w:t>The Board of Directors of a leading bank convened on December 27, 2023, and sanctioned the proposal for a rights issue, termed the "Rights Issue 2024." This strategic decision aimed to bolster the bank's capital base to support its growth initiatives and enhance shareholder value. The rights issue was devised in adherence to pertinent legal frameworks and regulatory guidelines, including the Companies Act, 2013, and the Securities and Exchange Board of India (Issue of Capital and Disclosure Requirements) Regulations, 2018.</w:t>
      </w:r>
    </w:p>
    <w:p w14:paraId="3F7998E1" w14:textId="77777777" w:rsidR="00F022AC" w:rsidRPr="0085289F" w:rsidRDefault="00F022AC" w:rsidP="004A5CCA">
      <w:pPr>
        <w:spacing w:after="0"/>
        <w:jc w:val="both"/>
        <w:rPr>
          <w:rFonts w:eastAsia="Times New Roman" w:cstheme="minorHAnsi"/>
          <w:b/>
          <w:bCs/>
          <w:color w:val="0E101A"/>
          <w:sz w:val="24"/>
          <w:szCs w:val="24"/>
          <w:lang w:val="en-IN" w:eastAsia="en-IN"/>
        </w:rPr>
      </w:pPr>
    </w:p>
    <w:p w14:paraId="36EAB619" w14:textId="77777777" w:rsidR="005A6136" w:rsidRPr="0085289F" w:rsidRDefault="00F022AC" w:rsidP="004A5CCA">
      <w:pPr>
        <w:spacing w:after="0"/>
        <w:jc w:val="both"/>
        <w:rPr>
          <w:rFonts w:eastAsia="Times New Roman" w:cstheme="minorHAnsi"/>
          <w:b/>
          <w:bCs/>
          <w:color w:val="0E101A"/>
          <w:sz w:val="24"/>
          <w:szCs w:val="24"/>
          <w:lang w:val="en-IN" w:eastAsia="en-IN"/>
        </w:rPr>
      </w:pPr>
      <w:r w:rsidRPr="0085289F">
        <w:rPr>
          <w:rFonts w:eastAsia="Times New Roman" w:cstheme="minorHAnsi"/>
          <w:b/>
          <w:bCs/>
          <w:color w:val="0E101A"/>
          <w:sz w:val="24"/>
          <w:szCs w:val="24"/>
          <w:lang w:val="en-IN" w:eastAsia="en-IN"/>
        </w:rPr>
        <w:t>Details of the Issue</w:t>
      </w:r>
    </w:p>
    <w:p w14:paraId="6558A60F" w14:textId="77777777" w:rsidR="00F022AC" w:rsidRPr="0085289F" w:rsidRDefault="00F022AC" w:rsidP="004A5CCA">
      <w:pPr>
        <w:spacing w:after="0"/>
        <w:jc w:val="both"/>
        <w:rPr>
          <w:rFonts w:eastAsia="Times New Roman" w:cstheme="minorHAnsi"/>
          <w:color w:val="0E101A"/>
          <w:sz w:val="24"/>
          <w:szCs w:val="24"/>
          <w:lang w:val="en-IN" w:eastAsia="en-IN"/>
        </w:rPr>
      </w:pPr>
    </w:p>
    <w:p w14:paraId="14E78A82"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b/>
          <w:bCs/>
          <w:color w:val="0E101A"/>
          <w:sz w:val="24"/>
          <w:szCs w:val="24"/>
          <w:lang w:val="en-IN" w:eastAsia="en-IN"/>
        </w:rPr>
        <w:t>Securities Offered:</w:t>
      </w:r>
    </w:p>
    <w:p w14:paraId="11B956C6"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Fully paid-up equity shares of the bank, denoted as "Rights Equity Shares," with a face value of Re. 1/- each.</w:t>
      </w:r>
    </w:p>
    <w:p w14:paraId="0E42B097"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b/>
          <w:bCs/>
          <w:color w:val="0E101A"/>
          <w:sz w:val="24"/>
          <w:szCs w:val="24"/>
          <w:lang w:val="en-IN" w:eastAsia="en-IN"/>
        </w:rPr>
        <w:t>Rights Entitlement:</w:t>
      </w:r>
    </w:p>
    <w:p w14:paraId="2F7D4F59"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Existing shareholders are entitled to 1 Equity Share for every 4 Equity Shares held.</w:t>
      </w:r>
    </w:p>
    <w:p w14:paraId="7559CF89"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b/>
          <w:bCs/>
          <w:color w:val="0E101A"/>
          <w:sz w:val="24"/>
          <w:szCs w:val="24"/>
          <w:lang w:val="en-IN" w:eastAsia="en-IN"/>
        </w:rPr>
        <w:t>Issue Price:</w:t>
      </w:r>
    </w:p>
    <w:p w14:paraId="117BC28B"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The issue price per share is Rs. 22/-, which includes a premium of Rs. 21/-.</w:t>
      </w:r>
    </w:p>
    <w:p w14:paraId="53E30711"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b/>
          <w:bCs/>
          <w:color w:val="0E101A"/>
          <w:sz w:val="24"/>
          <w:szCs w:val="24"/>
          <w:lang w:val="en-IN" w:eastAsia="en-IN"/>
        </w:rPr>
        <w:t>Approximate Number of Shares:</w:t>
      </w:r>
    </w:p>
    <w:p w14:paraId="4792F656"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lastRenderedPageBreak/>
        <w:t> The rights issue encompasses approximately 52,31,85,254 shares.</w:t>
      </w:r>
    </w:p>
    <w:p w14:paraId="6C010EF1"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b/>
          <w:bCs/>
          <w:color w:val="0E101A"/>
          <w:sz w:val="24"/>
          <w:szCs w:val="24"/>
          <w:lang w:val="en-IN" w:eastAsia="en-IN"/>
        </w:rPr>
        <w:t>Issue Size:</w:t>
      </w:r>
    </w:p>
    <w:p w14:paraId="7FA71B3F"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The total value of the rights issue is Rs. 1151.01 crores.</w:t>
      </w:r>
    </w:p>
    <w:p w14:paraId="48CD4F13"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b/>
          <w:bCs/>
          <w:color w:val="0E101A"/>
          <w:sz w:val="24"/>
          <w:szCs w:val="24"/>
          <w:lang w:val="en-IN" w:eastAsia="en-IN"/>
        </w:rPr>
        <w:t>Issue Timeline:</w:t>
      </w:r>
    </w:p>
    <w:p w14:paraId="075F6A3E"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w:t>
      </w:r>
      <w:r w:rsidRPr="0085289F">
        <w:rPr>
          <w:rFonts w:eastAsia="Times New Roman" w:cstheme="minorHAnsi"/>
          <w:b/>
          <w:bCs/>
          <w:color w:val="0E101A"/>
          <w:sz w:val="24"/>
          <w:szCs w:val="24"/>
          <w:lang w:val="en-IN" w:eastAsia="en-IN"/>
        </w:rPr>
        <w:t>Issue Opening Date:</w:t>
      </w:r>
      <w:r w:rsidRPr="0085289F">
        <w:rPr>
          <w:rFonts w:eastAsia="Times New Roman" w:cstheme="minorHAnsi"/>
          <w:color w:val="0E101A"/>
          <w:sz w:val="24"/>
          <w:szCs w:val="24"/>
          <w:lang w:val="en-IN" w:eastAsia="en-IN"/>
        </w:rPr>
        <w:t> March 6, 2024</w:t>
      </w:r>
    </w:p>
    <w:p w14:paraId="727B73EF"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w:t>
      </w:r>
      <w:r w:rsidRPr="0085289F">
        <w:rPr>
          <w:rFonts w:eastAsia="Times New Roman" w:cstheme="minorHAnsi"/>
          <w:b/>
          <w:bCs/>
          <w:color w:val="0E101A"/>
          <w:sz w:val="24"/>
          <w:szCs w:val="24"/>
          <w:lang w:val="en-IN" w:eastAsia="en-IN"/>
        </w:rPr>
        <w:t>Issue Closing Date:</w:t>
      </w:r>
      <w:r w:rsidRPr="0085289F">
        <w:rPr>
          <w:rFonts w:eastAsia="Times New Roman" w:cstheme="minorHAnsi"/>
          <w:color w:val="0E101A"/>
          <w:sz w:val="24"/>
          <w:szCs w:val="24"/>
          <w:lang w:val="en-IN" w:eastAsia="en-IN"/>
        </w:rPr>
        <w:t> March 20, 2024</w:t>
      </w:r>
    </w:p>
    <w:p w14:paraId="051B867F"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w:t>
      </w:r>
      <w:r w:rsidRPr="0085289F">
        <w:rPr>
          <w:rFonts w:eastAsia="Times New Roman" w:cstheme="minorHAnsi"/>
          <w:b/>
          <w:bCs/>
          <w:color w:val="0E101A"/>
          <w:sz w:val="24"/>
          <w:szCs w:val="24"/>
          <w:lang w:val="en-IN" w:eastAsia="en-IN"/>
        </w:rPr>
        <w:t>Last Date for On-Market Renunciation:</w:t>
      </w:r>
      <w:r w:rsidRPr="0085289F">
        <w:rPr>
          <w:rFonts w:eastAsia="Times New Roman" w:cstheme="minorHAnsi"/>
          <w:color w:val="0E101A"/>
          <w:sz w:val="24"/>
          <w:szCs w:val="24"/>
          <w:lang w:val="en-IN" w:eastAsia="en-IN"/>
        </w:rPr>
        <w:t> March 14, 2024</w:t>
      </w:r>
    </w:p>
    <w:p w14:paraId="0C03748E"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w:t>
      </w:r>
      <w:r w:rsidRPr="0085289F">
        <w:rPr>
          <w:rFonts w:eastAsia="Times New Roman" w:cstheme="minorHAnsi"/>
          <w:b/>
          <w:bCs/>
          <w:color w:val="0E101A"/>
          <w:sz w:val="24"/>
          <w:szCs w:val="24"/>
          <w:lang w:val="en-IN" w:eastAsia="en-IN"/>
        </w:rPr>
        <w:t>Date of Allotment:</w:t>
      </w:r>
      <w:r w:rsidRPr="0085289F">
        <w:rPr>
          <w:rFonts w:eastAsia="Times New Roman" w:cstheme="minorHAnsi"/>
          <w:color w:val="0E101A"/>
          <w:sz w:val="24"/>
          <w:szCs w:val="24"/>
          <w:lang w:val="en-IN" w:eastAsia="en-IN"/>
        </w:rPr>
        <w:t> On or about April 5, 2024</w:t>
      </w:r>
    </w:p>
    <w:p w14:paraId="7B9B2AD2"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w:t>
      </w:r>
      <w:r w:rsidRPr="0085289F">
        <w:rPr>
          <w:rFonts w:eastAsia="Times New Roman" w:cstheme="minorHAnsi"/>
          <w:b/>
          <w:bCs/>
          <w:color w:val="0E101A"/>
          <w:sz w:val="24"/>
          <w:szCs w:val="24"/>
          <w:lang w:val="en-IN" w:eastAsia="en-IN"/>
        </w:rPr>
        <w:t>Date of Credit:</w:t>
      </w:r>
      <w:r w:rsidRPr="0085289F">
        <w:rPr>
          <w:rFonts w:eastAsia="Times New Roman" w:cstheme="minorHAnsi"/>
          <w:color w:val="0E101A"/>
          <w:sz w:val="24"/>
          <w:szCs w:val="24"/>
          <w:lang w:val="en-IN" w:eastAsia="en-IN"/>
        </w:rPr>
        <w:t> On or about April 9, 2024</w:t>
      </w:r>
    </w:p>
    <w:p w14:paraId="0AC6C62F"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b/>
          <w:bCs/>
          <w:color w:val="0E101A"/>
          <w:sz w:val="24"/>
          <w:szCs w:val="24"/>
          <w:lang w:val="en-IN" w:eastAsia="en-IN"/>
        </w:rPr>
        <w:t>Scenario:</w:t>
      </w:r>
      <w:r w:rsidRPr="0085289F">
        <w:rPr>
          <w:rFonts w:eastAsia="Times New Roman" w:cstheme="minorHAnsi"/>
          <w:color w:val="0E101A"/>
          <w:sz w:val="24"/>
          <w:szCs w:val="24"/>
          <w:lang w:val="en-IN" w:eastAsia="en-IN"/>
        </w:rPr>
        <w:t> The rights issue allows existing shareholders to subscribe to additional bank equity shares at a predetermined price. This infusion of capital will augment the bank's financial strength and fortify its capacity to seize growth prospects in the dynamic banking sector. Management is committed to executing the rights issue seamlessly, ensuring equitable shareholder participation and regulatory compliance throughout the process.</w:t>
      </w:r>
    </w:p>
    <w:p w14:paraId="06ADB159" w14:textId="77777777" w:rsidR="005A6136" w:rsidRPr="0085289F" w:rsidRDefault="005A6136" w:rsidP="004A5CCA">
      <w:pPr>
        <w:spacing w:after="0"/>
        <w:jc w:val="both"/>
        <w:rPr>
          <w:rFonts w:eastAsia="Times New Roman" w:cstheme="minorHAnsi"/>
          <w:color w:val="0E101A"/>
          <w:sz w:val="24"/>
          <w:szCs w:val="24"/>
          <w:lang w:val="en-IN" w:eastAsia="en-IN"/>
        </w:rPr>
      </w:pPr>
      <w:r w:rsidRPr="0085289F">
        <w:rPr>
          <w:rFonts w:eastAsia="Times New Roman" w:cstheme="minorHAnsi"/>
          <w:b/>
          <w:bCs/>
          <w:color w:val="0E101A"/>
          <w:sz w:val="24"/>
          <w:szCs w:val="24"/>
          <w:lang w:val="en-IN" w:eastAsia="en-IN"/>
        </w:rPr>
        <w:t>Key Objectives:</w:t>
      </w:r>
    </w:p>
    <w:p w14:paraId="5079669E" w14:textId="77777777" w:rsidR="005A6136" w:rsidRPr="0085289F" w:rsidRDefault="005A6136" w:rsidP="00DB1393">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Enhance the bank's capital base to support business expansion and strategic initiatives.</w:t>
      </w:r>
    </w:p>
    <w:p w14:paraId="5C629995" w14:textId="77777777" w:rsidR="005A6136" w:rsidRPr="0085289F" w:rsidRDefault="005A6136" w:rsidP="00DB1393">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Facilitate the participation of existing shareholders in the bank's growth trajectory.</w:t>
      </w:r>
    </w:p>
    <w:p w14:paraId="4DAACF55" w14:textId="77777777" w:rsidR="005A6136" w:rsidRPr="0085289F" w:rsidRDefault="005A6136" w:rsidP="00DB1393">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Maintain regulatory compliance and adhere to legal obligations governing equity issuance.</w:t>
      </w:r>
    </w:p>
    <w:p w14:paraId="2CE0C06E" w14:textId="77777777" w:rsidR="00F022AC" w:rsidRPr="0085289F" w:rsidRDefault="005A6136" w:rsidP="00DB1393">
      <w:pPr>
        <w:spacing w:after="0"/>
        <w:jc w:val="both"/>
        <w:rPr>
          <w:rFonts w:eastAsia="Times New Roman" w:cstheme="minorHAnsi"/>
          <w:color w:val="0E101A"/>
          <w:sz w:val="24"/>
          <w:szCs w:val="24"/>
          <w:lang w:val="en-IN" w:eastAsia="en-IN"/>
        </w:rPr>
      </w:pPr>
      <w:r w:rsidRPr="0085289F">
        <w:rPr>
          <w:rFonts w:eastAsia="Times New Roman" w:cstheme="minorHAnsi"/>
          <w:b/>
          <w:bCs/>
          <w:color w:val="0E101A"/>
          <w:sz w:val="24"/>
          <w:szCs w:val="24"/>
          <w:lang w:val="en-IN" w:eastAsia="en-IN"/>
        </w:rPr>
        <w:t>Conclusion:</w:t>
      </w:r>
      <w:r w:rsidRPr="0085289F">
        <w:rPr>
          <w:rFonts w:eastAsia="Times New Roman" w:cstheme="minorHAnsi"/>
          <w:color w:val="0E101A"/>
          <w:sz w:val="24"/>
          <w:szCs w:val="24"/>
          <w:lang w:val="en-IN" w:eastAsia="en-IN"/>
        </w:rPr>
        <w:t> The Rights Issue 2024 signifies a pivotal step in the bank's sustainable growth and value-creation journey. By leveraging the support of existing shareholders and adhering to regulatory norms, the bank aims to reinforce its position as a trusted financial institution and capitalize on emerging opportunities in the banking landscape.</w:t>
      </w:r>
    </w:p>
    <w:p w14:paraId="4542F98D" w14:textId="77777777" w:rsidR="00F022AC" w:rsidRPr="0085289F" w:rsidRDefault="00F022AC" w:rsidP="00DB1393">
      <w:pPr>
        <w:spacing w:after="0"/>
        <w:jc w:val="both"/>
        <w:rPr>
          <w:rFonts w:eastAsia="Times New Roman" w:cstheme="minorHAnsi"/>
          <w:b/>
          <w:color w:val="0E101A"/>
          <w:sz w:val="24"/>
          <w:szCs w:val="24"/>
          <w:lang w:val="en-IN" w:eastAsia="en-IN"/>
        </w:rPr>
      </w:pPr>
      <w:r w:rsidRPr="0085289F">
        <w:rPr>
          <w:rFonts w:eastAsia="Times New Roman" w:cstheme="minorHAnsi"/>
          <w:b/>
          <w:color w:val="0E101A"/>
          <w:sz w:val="24"/>
          <w:szCs w:val="24"/>
          <w:lang w:val="en-IN" w:eastAsia="en-IN"/>
        </w:rPr>
        <w:t>Source: https://www.chittorgarh.com/</w:t>
      </w:r>
    </w:p>
    <w:p w14:paraId="356C7BE7" w14:textId="77777777" w:rsidR="004A5CCA" w:rsidRDefault="0085289F" w:rsidP="005A6136">
      <w:pPr>
        <w:spacing w:after="0"/>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w:t>
      </w:r>
    </w:p>
    <w:p w14:paraId="1DDA130E" w14:textId="77777777" w:rsidR="004A5CCA" w:rsidRDefault="005A6136" w:rsidP="004A5CCA">
      <w:pPr>
        <w:spacing w:after="0"/>
        <w:rPr>
          <w:rFonts w:eastAsia="Times New Roman" w:cstheme="minorHAnsi"/>
          <w:b/>
          <w:bCs/>
          <w:color w:val="0E101A"/>
          <w:sz w:val="24"/>
          <w:szCs w:val="24"/>
          <w:lang w:val="en-IN" w:eastAsia="en-IN"/>
        </w:rPr>
      </w:pPr>
      <w:r w:rsidRPr="0085289F">
        <w:rPr>
          <w:rFonts w:eastAsia="Times New Roman" w:cstheme="minorHAnsi"/>
          <w:b/>
          <w:bCs/>
          <w:color w:val="0E101A"/>
          <w:sz w:val="24"/>
          <w:szCs w:val="24"/>
          <w:lang w:val="en-IN" w:eastAsia="en-IN"/>
        </w:rPr>
        <w:t>Questions:</w:t>
      </w:r>
    </w:p>
    <w:p w14:paraId="5219B429" w14:textId="466B44E4" w:rsidR="005A6136" w:rsidRPr="004A5CCA" w:rsidRDefault="005A6136" w:rsidP="004A5CCA">
      <w:pPr>
        <w:spacing w:after="0"/>
        <w:rPr>
          <w:rFonts w:eastAsia="Times New Roman" w:cstheme="minorHAnsi"/>
          <w:b/>
          <w:bCs/>
          <w:color w:val="0E101A"/>
          <w:sz w:val="24"/>
          <w:szCs w:val="24"/>
          <w:lang w:val="en-IN" w:eastAsia="en-IN"/>
        </w:rPr>
      </w:pPr>
      <w:r w:rsidRPr="0085289F">
        <w:rPr>
          <w:rFonts w:eastAsia="Times New Roman" w:cstheme="minorHAnsi"/>
          <w:color w:val="0E101A"/>
          <w:sz w:val="24"/>
          <w:szCs w:val="24"/>
          <w:lang w:val="en-IN" w:eastAsia="en-IN"/>
        </w:rPr>
        <w:t xml:space="preserve">a. </w:t>
      </w:r>
      <w:r w:rsidR="004A5CCA" w:rsidRPr="004A5CCA">
        <w:rPr>
          <w:rFonts w:eastAsia="Times New Roman" w:cstheme="minorHAnsi"/>
          <w:b/>
          <w:i/>
          <w:color w:val="0E101A"/>
          <w:sz w:val="24"/>
          <w:szCs w:val="24"/>
          <w:lang w:val="en-IN" w:eastAsia="en-IN"/>
        </w:rPr>
        <w:t>Simplify</w:t>
      </w:r>
      <w:r w:rsidRPr="0085289F">
        <w:rPr>
          <w:rFonts w:eastAsia="Times New Roman" w:cstheme="minorHAnsi"/>
          <w:color w:val="0E101A"/>
          <w:sz w:val="24"/>
          <w:szCs w:val="24"/>
          <w:lang w:val="en-IN" w:eastAsia="en-IN"/>
        </w:rPr>
        <w:t xml:space="preserve"> the rationale behind the Rights Entitlement ratio of 1 Equity Share for every 4 Equity Shares held. </w:t>
      </w:r>
      <w:r w:rsidRPr="004A5CCA">
        <w:rPr>
          <w:rFonts w:eastAsia="Times New Roman" w:cstheme="minorHAnsi"/>
          <w:b/>
          <w:i/>
          <w:color w:val="0E101A"/>
          <w:sz w:val="24"/>
          <w:szCs w:val="24"/>
          <w:lang w:val="en-IN" w:eastAsia="en-IN"/>
        </w:rPr>
        <w:t>D</w:t>
      </w:r>
      <w:r w:rsidR="004A5CCA" w:rsidRPr="004A5CCA">
        <w:rPr>
          <w:rFonts w:eastAsia="Times New Roman" w:cstheme="minorHAnsi"/>
          <w:b/>
          <w:i/>
          <w:color w:val="0E101A"/>
          <w:sz w:val="24"/>
          <w:szCs w:val="24"/>
          <w:lang w:val="en-IN" w:eastAsia="en-IN"/>
        </w:rPr>
        <w:t>iscover</w:t>
      </w:r>
      <w:r w:rsidRPr="0085289F">
        <w:rPr>
          <w:rFonts w:eastAsia="Times New Roman" w:cstheme="minorHAnsi"/>
          <w:color w:val="0E101A"/>
          <w:sz w:val="24"/>
          <w:szCs w:val="24"/>
          <w:lang w:val="en-IN" w:eastAsia="en-IN"/>
        </w:rPr>
        <w:t xml:space="preserve"> the potential impact of this ratio on existing shareholders and the bank's capital structure. </w:t>
      </w:r>
      <w:r w:rsidRPr="0085289F">
        <w:rPr>
          <w:rFonts w:eastAsia="Times New Roman" w:cstheme="minorHAnsi"/>
          <w:color w:val="0E101A"/>
          <w:sz w:val="24"/>
          <w:szCs w:val="24"/>
          <w:lang w:val="en-IN" w:eastAsia="en-IN"/>
        </w:rPr>
        <w:tab/>
      </w:r>
      <w:r w:rsidRPr="0085289F">
        <w:rPr>
          <w:rFonts w:eastAsia="Times New Roman" w:cstheme="minorHAnsi"/>
          <w:color w:val="0E101A"/>
          <w:sz w:val="24"/>
          <w:szCs w:val="24"/>
          <w:lang w:val="en-IN" w:eastAsia="en-IN"/>
        </w:rPr>
        <w:tab/>
      </w:r>
      <w:r w:rsidR="0085289F" w:rsidRPr="0085289F">
        <w:rPr>
          <w:rFonts w:eastAsia="Times New Roman" w:cstheme="minorHAnsi"/>
          <w:color w:val="0E101A"/>
          <w:sz w:val="24"/>
          <w:szCs w:val="24"/>
          <w:lang w:val="en-IN" w:eastAsia="en-IN"/>
        </w:rPr>
        <w:tab/>
      </w:r>
      <w:r w:rsidR="0085289F" w:rsidRPr="0085289F">
        <w:rPr>
          <w:rFonts w:eastAsia="Times New Roman" w:cstheme="minorHAnsi"/>
          <w:color w:val="0E101A"/>
          <w:sz w:val="24"/>
          <w:szCs w:val="24"/>
          <w:lang w:val="en-IN" w:eastAsia="en-IN"/>
        </w:rPr>
        <w:tab/>
      </w:r>
      <w:r w:rsidR="0085289F" w:rsidRPr="0085289F">
        <w:rPr>
          <w:rFonts w:eastAsia="Times New Roman" w:cstheme="minorHAnsi"/>
          <w:color w:val="0E101A"/>
          <w:sz w:val="24"/>
          <w:szCs w:val="24"/>
          <w:lang w:val="en-IN" w:eastAsia="en-IN"/>
        </w:rPr>
        <w:tab/>
      </w:r>
      <w:r w:rsidR="0085289F" w:rsidRPr="0085289F">
        <w:rPr>
          <w:rFonts w:eastAsia="Times New Roman" w:cstheme="minorHAnsi"/>
          <w:color w:val="0E101A"/>
          <w:sz w:val="24"/>
          <w:szCs w:val="24"/>
          <w:lang w:val="en-IN" w:eastAsia="en-IN"/>
        </w:rPr>
        <w:tab/>
      </w:r>
      <w:r w:rsidR="0085289F" w:rsidRPr="0085289F">
        <w:rPr>
          <w:rFonts w:eastAsia="Times New Roman" w:cstheme="minorHAnsi"/>
          <w:color w:val="0E101A"/>
          <w:sz w:val="24"/>
          <w:szCs w:val="24"/>
          <w:lang w:val="en-IN" w:eastAsia="en-IN"/>
        </w:rPr>
        <w:tab/>
      </w:r>
      <w:r w:rsidR="0085289F" w:rsidRPr="0085289F">
        <w:rPr>
          <w:rFonts w:eastAsia="Times New Roman" w:cstheme="minorHAnsi"/>
          <w:color w:val="0E101A"/>
          <w:sz w:val="24"/>
          <w:szCs w:val="24"/>
          <w:lang w:val="en-IN" w:eastAsia="en-IN"/>
        </w:rPr>
        <w:tab/>
      </w:r>
      <w:r w:rsidR="00DB1393">
        <w:rPr>
          <w:rFonts w:eastAsia="Times New Roman" w:cstheme="minorHAnsi"/>
          <w:color w:val="0E101A"/>
          <w:sz w:val="24"/>
          <w:szCs w:val="24"/>
          <w:lang w:val="en-IN" w:eastAsia="en-IN"/>
        </w:rPr>
        <w:t xml:space="preserve">                      </w:t>
      </w:r>
      <w:r w:rsidR="00F14BA7" w:rsidRPr="00DB1393">
        <w:rPr>
          <w:rFonts w:eastAsia="Times New Roman" w:cstheme="minorHAnsi"/>
          <w:b/>
          <w:bCs/>
          <w:color w:val="0E101A"/>
          <w:sz w:val="24"/>
          <w:szCs w:val="24"/>
          <w:lang w:val="en-IN" w:eastAsia="en-IN"/>
        </w:rPr>
        <w:t>(3</w:t>
      </w:r>
      <w:r w:rsidRPr="00DB1393">
        <w:rPr>
          <w:rFonts w:eastAsia="Times New Roman" w:cstheme="minorHAnsi"/>
          <w:b/>
          <w:bCs/>
          <w:color w:val="0E101A"/>
          <w:sz w:val="24"/>
          <w:szCs w:val="24"/>
          <w:lang w:val="en-IN" w:eastAsia="en-IN"/>
        </w:rPr>
        <w:t xml:space="preserve"> marks)</w:t>
      </w:r>
    </w:p>
    <w:p w14:paraId="3F216BF3" w14:textId="77777777" w:rsidR="0085289F" w:rsidRPr="0085289F" w:rsidRDefault="0085289F" w:rsidP="005A6136">
      <w:pPr>
        <w:spacing w:after="0"/>
        <w:jc w:val="both"/>
        <w:rPr>
          <w:rFonts w:eastAsia="Times New Roman" w:cstheme="minorHAnsi"/>
          <w:color w:val="0E101A"/>
          <w:sz w:val="24"/>
          <w:szCs w:val="24"/>
          <w:lang w:val="en-IN" w:eastAsia="en-IN"/>
        </w:rPr>
      </w:pPr>
    </w:p>
    <w:p w14:paraId="00372811" w14:textId="2CC45697" w:rsidR="005A6136" w:rsidRPr="0085289F" w:rsidRDefault="005A6136" w:rsidP="005A6136">
      <w:pPr>
        <w:spacing w:after="0"/>
        <w:jc w:val="both"/>
        <w:rPr>
          <w:rFonts w:eastAsia="Times New Roman" w:cstheme="minorHAnsi"/>
          <w:color w:val="0E101A"/>
          <w:sz w:val="24"/>
          <w:szCs w:val="24"/>
          <w:lang w:val="en-IN" w:eastAsia="en-IN"/>
        </w:rPr>
      </w:pPr>
      <w:r w:rsidRPr="0085289F">
        <w:rPr>
          <w:rFonts w:eastAsia="Times New Roman" w:cstheme="minorHAnsi"/>
          <w:color w:val="0E101A"/>
          <w:sz w:val="24"/>
          <w:szCs w:val="24"/>
          <w:lang w:val="en-IN" w:eastAsia="en-IN"/>
        </w:rPr>
        <w:t xml:space="preserve">b. </w:t>
      </w:r>
      <w:proofErr w:type="spellStart"/>
      <w:r w:rsidRPr="004A5CCA">
        <w:rPr>
          <w:rFonts w:eastAsia="Times New Roman" w:cstheme="minorHAnsi"/>
          <w:b/>
          <w:i/>
          <w:color w:val="0E101A"/>
          <w:sz w:val="24"/>
          <w:szCs w:val="24"/>
          <w:lang w:val="en-IN" w:eastAsia="en-IN"/>
        </w:rPr>
        <w:t>Analyze</w:t>
      </w:r>
      <w:proofErr w:type="spellEnd"/>
      <w:r w:rsidRPr="004A5CCA">
        <w:rPr>
          <w:rFonts w:eastAsia="Times New Roman" w:cstheme="minorHAnsi"/>
          <w:b/>
          <w:i/>
          <w:color w:val="0E101A"/>
          <w:sz w:val="24"/>
          <w:szCs w:val="24"/>
          <w:lang w:val="en-IN" w:eastAsia="en-IN"/>
        </w:rPr>
        <w:t xml:space="preserve"> </w:t>
      </w:r>
      <w:r w:rsidRPr="0085289F">
        <w:rPr>
          <w:rFonts w:eastAsia="Times New Roman" w:cstheme="minorHAnsi"/>
          <w:color w:val="0E101A"/>
          <w:sz w:val="24"/>
          <w:szCs w:val="24"/>
          <w:lang w:val="en-IN" w:eastAsia="en-IN"/>
        </w:rPr>
        <w:t xml:space="preserve">the pricing strategy employed for the Rights Issue 2024, with an issue price of Rs. 22 per share, including a premium of Rs. 21 per share. Assess the factors influencing the determination of the issue price and its implications for shareholder participation and the bank's valuation. </w:t>
      </w:r>
      <w:r w:rsidR="00F14BA7">
        <w:rPr>
          <w:rFonts w:eastAsia="Times New Roman" w:cstheme="minorHAnsi"/>
          <w:color w:val="0E101A"/>
          <w:sz w:val="24"/>
          <w:szCs w:val="24"/>
          <w:lang w:val="en-IN" w:eastAsia="en-IN"/>
        </w:rPr>
        <w:tab/>
      </w:r>
      <w:r w:rsidR="00F14BA7">
        <w:rPr>
          <w:rFonts w:eastAsia="Times New Roman" w:cstheme="minorHAnsi"/>
          <w:color w:val="0E101A"/>
          <w:sz w:val="24"/>
          <w:szCs w:val="24"/>
          <w:lang w:val="en-IN" w:eastAsia="en-IN"/>
        </w:rPr>
        <w:tab/>
      </w:r>
      <w:r w:rsidR="00F14BA7">
        <w:rPr>
          <w:rFonts w:eastAsia="Times New Roman" w:cstheme="minorHAnsi"/>
          <w:color w:val="0E101A"/>
          <w:sz w:val="24"/>
          <w:szCs w:val="24"/>
          <w:lang w:val="en-IN" w:eastAsia="en-IN"/>
        </w:rPr>
        <w:tab/>
      </w:r>
      <w:r w:rsidR="00F14BA7">
        <w:rPr>
          <w:rFonts w:eastAsia="Times New Roman" w:cstheme="minorHAnsi"/>
          <w:color w:val="0E101A"/>
          <w:sz w:val="24"/>
          <w:szCs w:val="24"/>
          <w:lang w:val="en-IN" w:eastAsia="en-IN"/>
        </w:rPr>
        <w:tab/>
      </w:r>
      <w:r w:rsidR="00F14BA7">
        <w:rPr>
          <w:rFonts w:eastAsia="Times New Roman" w:cstheme="minorHAnsi"/>
          <w:color w:val="0E101A"/>
          <w:sz w:val="24"/>
          <w:szCs w:val="24"/>
          <w:lang w:val="en-IN" w:eastAsia="en-IN"/>
        </w:rPr>
        <w:tab/>
      </w:r>
      <w:r w:rsidR="00F14BA7">
        <w:rPr>
          <w:rFonts w:eastAsia="Times New Roman" w:cstheme="minorHAnsi"/>
          <w:color w:val="0E101A"/>
          <w:sz w:val="24"/>
          <w:szCs w:val="24"/>
          <w:lang w:val="en-IN" w:eastAsia="en-IN"/>
        </w:rPr>
        <w:tab/>
      </w:r>
      <w:r w:rsidR="00F14BA7">
        <w:rPr>
          <w:rFonts w:eastAsia="Times New Roman" w:cstheme="minorHAnsi"/>
          <w:color w:val="0E101A"/>
          <w:sz w:val="24"/>
          <w:szCs w:val="24"/>
          <w:lang w:val="en-IN" w:eastAsia="en-IN"/>
        </w:rPr>
        <w:tab/>
      </w:r>
      <w:r w:rsidR="00F14BA7">
        <w:rPr>
          <w:rFonts w:eastAsia="Times New Roman" w:cstheme="minorHAnsi"/>
          <w:color w:val="0E101A"/>
          <w:sz w:val="24"/>
          <w:szCs w:val="24"/>
          <w:lang w:val="en-IN" w:eastAsia="en-IN"/>
        </w:rPr>
        <w:tab/>
      </w:r>
      <w:r w:rsidR="00F14BA7">
        <w:rPr>
          <w:rFonts w:eastAsia="Times New Roman" w:cstheme="minorHAnsi"/>
          <w:color w:val="0E101A"/>
          <w:sz w:val="24"/>
          <w:szCs w:val="24"/>
          <w:lang w:val="en-IN" w:eastAsia="en-IN"/>
        </w:rPr>
        <w:tab/>
      </w:r>
      <w:r w:rsidR="00DB1393">
        <w:rPr>
          <w:rFonts w:eastAsia="Times New Roman" w:cstheme="minorHAnsi"/>
          <w:color w:val="0E101A"/>
          <w:sz w:val="24"/>
          <w:szCs w:val="24"/>
          <w:lang w:val="en-IN" w:eastAsia="en-IN"/>
        </w:rPr>
        <w:t xml:space="preserve">                      </w:t>
      </w:r>
      <w:r w:rsidR="00F14BA7" w:rsidRPr="00DB1393">
        <w:rPr>
          <w:rFonts w:eastAsia="Times New Roman" w:cstheme="minorHAnsi"/>
          <w:b/>
          <w:bCs/>
          <w:color w:val="0E101A"/>
          <w:sz w:val="24"/>
          <w:szCs w:val="24"/>
          <w:lang w:val="en-IN" w:eastAsia="en-IN"/>
        </w:rPr>
        <w:t>(</w:t>
      </w:r>
      <w:r w:rsidR="004A3C31" w:rsidRPr="00DB1393">
        <w:rPr>
          <w:rFonts w:eastAsia="Times New Roman" w:cstheme="minorHAnsi"/>
          <w:b/>
          <w:bCs/>
          <w:color w:val="0E101A"/>
          <w:sz w:val="24"/>
          <w:szCs w:val="24"/>
          <w:lang w:val="en-IN" w:eastAsia="en-IN"/>
        </w:rPr>
        <w:t>4</w:t>
      </w:r>
      <w:r w:rsidRPr="00DB1393">
        <w:rPr>
          <w:rFonts w:eastAsia="Times New Roman" w:cstheme="minorHAnsi"/>
          <w:b/>
          <w:bCs/>
          <w:color w:val="0E101A"/>
          <w:sz w:val="24"/>
          <w:szCs w:val="24"/>
          <w:lang w:val="en-IN" w:eastAsia="en-IN"/>
        </w:rPr>
        <w:t xml:space="preserve"> marks)</w:t>
      </w:r>
    </w:p>
    <w:p w14:paraId="5F08BF08" w14:textId="77777777" w:rsidR="005A6136" w:rsidRPr="0085289F" w:rsidRDefault="005A6136" w:rsidP="005A6136">
      <w:pPr>
        <w:spacing w:after="0"/>
        <w:jc w:val="both"/>
        <w:rPr>
          <w:rFonts w:eastAsia="Times New Roman" w:cstheme="minorHAnsi"/>
          <w:color w:val="0E101A"/>
          <w:sz w:val="24"/>
          <w:szCs w:val="24"/>
          <w:lang w:val="en-IN" w:eastAsia="en-IN"/>
        </w:rPr>
      </w:pPr>
    </w:p>
    <w:p w14:paraId="76D879DC" w14:textId="77777777" w:rsidR="00F022AC" w:rsidRDefault="00F022AC" w:rsidP="005A6136">
      <w:pPr>
        <w:spacing w:after="0"/>
        <w:jc w:val="both"/>
        <w:rPr>
          <w:rFonts w:cstheme="minorHAnsi"/>
          <w:color w:val="0D0D0D"/>
          <w:sz w:val="24"/>
          <w:szCs w:val="24"/>
          <w:shd w:val="clear" w:color="auto" w:fill="FFFFFF"/>
        </w:rPr>
      </w:pPr>
    </w:p>
    <w:p w14:paraId="55ACB392" w14:textId="77777777" w:rsidR="00DB1393" w:rsidRDefault="00DB1393" w:rsidP="005A6136">
      <w:pPr>
        <w:spacing w:after="0"/>
        <w:jc w:val="both"/>
        <w:rPr>
          <w:rFonts w:cstheme="minorHAnsi"/>
          <w:color w:val="0D0D0D"/>
          <w:sz w:val="24"/>
          <w:szCs w:val="24"/>
          <w:shd w:val="clear" w:color="auto" w:fill="FFFFFF"/>
        </w:rPr>
      </w:pPr>
    </w:p>
    <w:p w14:paraId="70E55DDF" w14:textId="77777777" w:rsidR="00DB1393" w:rsidRPr="0085289F" w:rsidRDefault="00DB1393" w:rsidP="005A6136">
      <w:pPr>
        <w:spacing w:after="0"/>
        <w:jc w:val="both"/>
        <w:rPr>
          <w:rFonts w:cstheme="minorHAnsi"/>
          <w:color w:val="0D0D0D"/>
          <w:sz w:val="24"/>
          <w:szCs w:val="24"/>
          <w:shd w:val="clear" w:color="auto" w:fill="FFFFFF"/>
        </w:rPr>
      </w:pPr>
    </w:p>
    <w:p w14:paraId="69C7EA5A" w14:textId="12F8D29E" w:rsidR="00F022AC" w:rsidRPr="00DB1393" w:rsidRDefault="0085289F" w:rsidP="005A6136">
      <w:pPr>
        <w:spacing w:after="0"/>
        <w:jc w:val="both"/>
        <w:rPr>
          <w:rFonts w:cstheme="minorHAnsi"/>
          <w:b/>
          <w:bCs/>
          <w:color w:val="0D0D0D"/>
          <w:sz w:val="24"/>
          <w:szCs w:val="24"/>
          <w:shd w:val="clear" w:color="auto" w:fill="FFFFFF"/>
        </w:rPr>
      </w:pPr>
      <w:r w:rsidRPr="0085289F">
        <w:rPr>
          <w:rFonts w:cstheme="minorHAnsi"/>
          <w:color w:val="0D0D0D"/>
          <w:sz w:val="24"/>
          <w:szCs w:val="24"/>
          <w:shd w:val="clear" w:color="auto" w:fill="FFFFFF"/>
        </w:rPr>
        <w:lastRenderedPageBreak/>
        <w:t xml:space="preserve"> Q4. </w:t>
      </w:r>
      <w:proofErr w:type="spellStart"/>
      <w:r w:rsidR="00F022AC" w:rsidRPr="0085289F">
        <w:rPr>
          <w:rFonts w:cstheme="minorHAnsi"/>
          <w:color w:val="0D0D0D"/>
          <w:sz w:val="24"/>
          <w:szCs w:val="24"/>
          <w:shd w:val="clear" w:color="auto" w:fill="FFFFFF"/>
        </w:rPr>
        <w:t>PeCee</w:t>
      </w:r>
      <w:proofErr w:type="spellEnd"/>
      <w:r w:rsidR="00F022AC" w:rsidRPr="0085289F">
        <w:rPr>
          <w:rFonts w:cstheme="minorHAnsi"/>
          <w:color w:val="0D0D0D"/>
          <w:sz w:val="24"/>
          <w:szCs w:val="24"/>
          <w:shd w:val="clear" w:color="auto" w:fill="FFFFFF"/>
        </w:rPr>
        <w:t xml:space="preserve"> Jonas company has decided to acquire Nick Jonas company. The following are the relevant financial data for the two companies:</w:t>
      </w:r>
      <w:r w:rsidR="00DB1393">
        <w:rPr>
          <w:rFonts w:cstheme="minorHAnsi"/>
          <w:color w:val="0D0D0D"/>
          <w:sz w:val="24"/>
          <w:szCs w:val="24"/>
          <w:shd w:val="clear" w:color="auto" w:fill="FFFFFF"/>
        </w:rPr>
        <w:t xml:space="preserve">                                                                   </w:t>
      </w:r>
      <w:proofErr w:type="gramStart"/>
      <w:r w:rsidR="00DB1393">
        <w:rPr>
          <w:rFonts w:cstheme="minorHAnsi"/>
          <w:color w:val="0D0D0D"/>
          <w:sz w:val="24"/>
          <w:szCs w:val="24"/>
          <w:shd w:val="clear" w:color="auto" w:fill="FFFFFF"/>
        </w:rPr>
        <w:t xml:space="preserve">   </w:t>
      </w:r>
      <w:r w:rsidR="00DB1393">
        <w:rPr>
          <w:rFonts w:cstheme="minorHAnsi"/>
          <w:b/>
          <w:bCs/>
          <w:color w:val="0D0D0D"/>
          <w:sz w:val="24"/>
          <w:szCs w:val="24"/>
          <w:shd w:val="clear" w:color="auto" w:fill="FFFFFF"/>
        </w:rPr>
        <w:t>(</w:t>
      </w:r>
      <w:proofErr w:type="gramEnd"/>
      <w:r w:rsidR="00DB1393">
        <w:rPr>
          <w:rFonts w:cstheme="minorHAnsi"/>
          <w:b/>
          <w:bCs/>
          <w:color w:val="0D0D0D"/>
          <w:sz w:val="24"/>
          <w:szCs w:val="24"/>
          <w:shd w:val="clear" w:color="auto" w:fill="FFFFFF"/>
        </w:rPr>
        <w:t>8 Marks)</w:t>
      </w:r>
    </w:p>
    <w:p w14:paraId="35765B3C" w14:textId="77777777" w:rsidR="00F022AC" w:rsidRPr="0085289F" w:rsidRDefault="00F022AC" w:rsidP="005A6136">
      <w:pPr>
        <w:spacing w:after="0"/>
        <w:jc w:val="both"/>
        <w:rPr>
          <w:rFonts w:cstheme="minorHAnsi"/>
          <w:color w:val="0D0D0D"/>
          <w:sz w:val="24"/>
          <w:szCs w:val="24"/>
          <w:shd w:val="clear" w:color="auto" w:fill="FFFFFF"/>
        </w:rPr>
      </w:pPr>
    </w:p>
    <w:tbl>
      <w:tblPr>
        <w:tblStyle w:val="TableGrid"/>
        <w:tblW w:w="0" w:type="auto"/>
        <w:tblLook w:val="04A0" w:firstRow="1" w:lastRow="0" w:firstColumn="1" w:lastColumn="0" w:noHBand="0" w:noVBand="1"/>
      </w:tblPr>
      <w:tblGrid>
        <w:gridCol w:w="3116"/>
        <w:gridCol w:w="3117"/>
        <w:gridCol w:w="3117"/>
      </w:tblGrid>
      <w:tr w:rsidR="00F022AC" w:rsidRPr="0085289F" w14:paraId="7FCFFED3" w14:textId="77777777" w:rsidTr="0085289F">
        <w:tc>
          <w:tcPr>
            <w:tcW w:w="3116" w:type="dxa"/>
            <w:shd w:val="clear" w:color="auto" w:fill="D9D9D9" w:themeFill="background1" w:themeFillShade="D9"/>
          </w:tcPr>
          <w:p w14:paraId="1896CCCA" w14:textId="77777777" w:rsidR="00F022AC" w:rsidRPr="0085289F" w:rsidRDefault="00F022AC" w:rsidP="005A6136">
            <w:pPr>
              <w:spacing w:after="0"/>
              <w:jc w:val="both"/>
              <w:rPr>
                <w:rFonts w:cstheme="minorHAnsi"/>
                <w:color w:val="0D0D0D"/>
                <w:sz w:val="24"/>
                <w:szCs w:val="24"/>
                <w:shd w:val="clear" w:color="auto" w:fill="FFFFFF"/>
              </w:rPr>
            </w:pPr>
          </w:p>
        </w:tc>
        <w:tc>
          <w:tcPr>
            <w:tcW w:w="3117" w:type="dxa"/>
            <w:shd w:val="clear" w:color="auto" w:fill="D9D9D9" w:themeFill="background1" w:themeFillShade="D9"/>
          </w:tcPr>
          <w:p w14:paraId="6C3B1980" w14:textId="77777777" w:rsidR="00F022AC" w:rsidRPr="0085289F" w:rsidRDefault="00F022AC" w:rsidP="0085289F">
            <w:pPr>
              <w:spacing w:after="0"/>
              <w:jc w:val="center"/>
              <w:rPr>
                <w:rFonts w:cstheme="minorHAnsi"/>
                <w:b/>
                <w:color w:val="0D0D0D"/>
                <w:sz w:val="24"/>
                <w:szCs w:val="24"/>
                <w:shd w:val="clear" w:color="auto" w:fill="FFFFFF"/>
              </w:rPr>
            </w:pPr>
            <w:proofErr w:type="spellStart"/>
            <w:r w:rsidRPr="0085289F">
              <w:rPr>
                <w:rFonts w:cstheme="minorHAnsi"/>
                <w:b/>
                <w:color w:val="0D0D0D"/>
                <w:sz w:val="24"/>
                <w:szCs w:val="24"/>
                <w:shd w:val="clear" w:color="auto" w:fill="FFFFFF"/>
              </w:rPr>
              <w:t>PeCee</w:t>
            </w:r>
            <w:proofErr w:type="spellEnd"/>
            <w:r w:rsidRPr="0085289F">
              <w:rPr>
                <w:rFonts w:cstheme="minorHAnsi"/>
                <w:b/>
                <w:color w:val="0D0D0D"/>
                <w:sz w:val="24"/>
                <w:szCs w:val="24"/>
                <w:shd w:val="clear" w:color="auto" w:fill="FFFFFF"/>
              </w:rPr>
              <w:t xml:space="preserve"> Jonas Co.</w:t>
            </w:r>
          </w:p>
        </w:tc>
        <w:tc>
          <w:tcPr>
            <w:tcW w:w="3117" w:type="dxa"/>
            <w:shd w:val="clear" w:color="auto" w:fill="D9D9D9" w:themeFill="background1" w:themeFillShade="D9"/>
          </w:tcPr>
          <w:p w14:paraId="324E4594" w14:textId="77777777" w:rsidR="00F022AC" w:rsidRPr="0085289F" w:rsidRDefault="00F022AC" w:rsidP="0085289F">
            <w:pPr>
              <w:spacing w:after="0"/>
              <w:jc w:val="center"/>
              <w:rPr>
                <w:rFonts w:cstheme="minorHAnsi"/>
                <w:b/>
                <w:color w:val="0D0D0D"/>
                <w:sz w:val="24"/>
                <w:szCs w:val="24"/>
                <w:shd w:val="clear" w:color="auto" w:fill="FFFFFF"/>
              </w:rPr>
            </w:pPr>
            <w:r w:rsidRPr="0085289F">
              <w:rPr>
                <w:rFonts w:cstheme="minorHAnsi"/>
                <w:b/>
                <w:color w:val="0D0D0D"/>
                <w:sz w:val="24"/>
                <w:szCs w:val="24"/>
                <w:shd w:val="clear" w:color="auto" w:fill="FFFFFF"/>
              </w:rPr>
              <w:t>Nick Jonas Co.</w:t>
            </w:r>
          </w:p>
        </w:tc>
      </w:tr>
      <w:tr w:rsidR="00F022AC" w:rsidRPr="0085289F" w14:paraId="106A2F17" w14:textId="77777777" w:rsidTr="00F022AC">
        <w:tc>
          <w:tcPr>
            <w:tcW w:w="3116" w:type="dxa"/>
          </w:tcPr>
          <w:p w14:paraId="696FF077"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Net sales (Rs. Lakhs)</w:t>
            </w:r>
          </w:p>
        </w:tc>
        <w:tc>
          <w:tcPr>
            <w:tcW w:w="3117" w:type="dxa"/>
          </w:tcPr>
          <w:p w14:paraId="06690357"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350.00</w:t>
            </w:r>
          </w:p>
        </w:tc>
        <w:tc>
          <w:tcPr>
            <w:tcW w:w="3117" w:type="dxa"/>
          </w:tcPr>
          <w:p w14:paraId="05B1C89F"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45.00</w:t>
            </w:r>
          </w:p>
        </w:tc>
      </w:tr>
      <w:tr w:rsidR="00F022AC" w:rsidRPr="0085289F" w14:paraId="70E4BBC2" w14:textId="77777777" w:rsidTr="00F022AC">
        <w:tc>
          <w:tcPr>
            <w:tcW w:w="3116" w:type="dxa"/>
          </w:tcPr>
          <w:p w14:paraId="549D4917"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 xml:space="preserve">PAT </w:t>
            </w:r>
            <w:r w:rsidR="004A5CCA" w:rsidRPr="0085289F">
              <w:rPr>
                <w:rFonts w:cstheme="minorHAnsi"/>
                <w:color w:val="0D0D0D"/>
                <w:sz w:val="24"/>
                <w:szCs w:val="24"/>
                <w:shd w:val="clear" w:color="auto" w:fill="FFFFFF"/>
              </w:rPr>
              <w:t>(Rs</w:t>
            </w:r>
            <w:r w:rsidRPr="0085289F">
              <w:rPr>
                <w:rFonts w:cstheme="minorHAnsi"/>
                <w:color w:val="0D0D0D"/>
                <w:sz w:val="24"/>
                <w:szCs w:val="24"/>
                <w:shd w:val="clear" w:color="auto" w:fill="FFFFFF"/>
              </w:rPr>
              <w:t>. Lakhs)</w:t>
            </w:r>
          </w:p>
        </w:tc>
        <w:tc>
          <w:tcPr>
            <w:tcW w:w="3117" w:type="dxa"/>
          </w:tcPr>
          <w:p w14:paraId="3109D8FD"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28.13</w:t>
            </w:r>
          </w:p>
        </w:tc>
        <w:tc>
          <w:tcPr>
            <w:tcW w:w="3117" w:type="dxa"/>
          </w:tcPr>
          <w:p w14:paraId="61D62F62"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3.75</w:t>
            </w:r>
          </w:p>
        </w:tc>
      </w:tr>
      <w:tr w:rsidR="00F022AC" w:rsidRPr="0085289F" w14:paraId="77292630" w14:textId="77777777" w:rsidTr="00F022AC">
        <w:tc>
          <w:tcPr>
            <w:tcW w:w="3116" w:type="dxa"/>
          </w:tcPr>
          <w:p w14:paraId="1203F6AB"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No. of shares (Lakhs)</w:t>
            </w:r>
          </w:p>
        </w:tc>
        <w:tc>
          <w:tcPr>
            <w:tcW w:w="3117" w:type="dxa"/>
          </w:tcPr>
          <w:p w14:paraId="3D1AB4E5"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7.50</w:t>
            </w:r>
          </w:p>
        </w:tc>
        <w:tc>
          <w:tcPr>
            <w:tcW w:w="3117" w:type="dxa"/>
          </w:tcPr>
          <w:p w14:paraId="449A8690"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1.50</w:t>
            </w:r>
          </w:p>
        </w:tc>
      </w:tr>
      <w:tr w:rsidR="00F022AC" w:rsidRPr="0085289F" w14:paraId="2BC8C273" w14:textId="77777777" w:rsidTr="00F022AC">
        <w:tc>
          <w:tcPr>
            <w:tcW w:w="3116" w:type="dxa"/>
          </w:tcPr>
          <w:p w14:paraId="00AB0484"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EPS (Rs.)</w:t>
            </w:r>
          </w:p>
        </w:tc>
        <w:tc>
          <w:tcPr>
            <w:tcW w:w="3117" w:type="dxa"/>
          </w:tcPr>
          <w:p w14:paraId="3BD8DFD8"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3.75</w:t>
            </w:r>
          </w:p>
        </w:tc>
        <w:tc>
          <w:tcPr>
            <w:tcW w:w="3117" w:type="dxa"/>
          </w:tcPr>
          <w:p w14:paraId="0A103B8A"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2.50</w:t>
            </w:r>
          </w:p>
        </w:tc>
      </w:tr>
      <w:tr w:rsidR="00F022AC" w:rsidRPr="0085289F" w14:paraId="47F66151" w14:textId="77777777" w:rsidTr="00F022AC">
        <w:tc>
          <w:tcPr>
            <w:tcW w:w="3116" w:type="dxa"/>
          </w:tcPr>
          <w:p w14:paraId="4FD87AC9"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DPS (Rs.)</w:t>
            </w:r>
          </w:p>
        </w:tc>
        <w:tc>
          <w:tcPr>
            <w:tcW w:w="3117" w:type="dxa"/>
          </w:tcPr>
          <w:p w14:paraId="3EEB5606"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1.30</w:t>
            </w:r>
          </w:p>
        </w:tc>
        <w:tc>
          <w:tcPr>
            <w:tcW w:w="3117" w:type="dxa"/>
          </w:tcPr>
          <w:p w14:paraId="654FF852"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0.60</w:t>
            </w:r>
          </w:p>
        </w:tc>
      </w:tr>
      <w:tr w:rsidR="00F022AC" w:rsidRPr="0085289F" w14:paraId="54FFEED1" w14:textId="77777777" w:rsidTr="00F022AC">
        <w:tc>
          <w:tcPr>
            <w:tcW w:w="3116" w:type="dxa"/>
          </w:tcPr>
          <w:p w14:paraId="5200401C"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Total market capitalization (Rs. Lakh)</w:t>
            </w:r>
          </w:p>
        </w:tc>
        <w:tc>
          <w:tcPr>
            <w:tcW w:w="3117" w:type="dxa"/>
          </w:tcPr>
          <w:p w14:paraId="6EA84A49"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420.00</w:t>
            </w:r>
          </w:p>
        </w:tc>
        <w:tc>
          <w:tcPr>
            <w:tcW w:w="3117" w:type="dxa"/>
          </w:tcPr>
          <w:p w14:paraId="4936C3BC" w14:textId="77777777" w:rsidR="00F022AC" w:rsidRPr="0085289F" w:rsidRDefault="00F022AC" w:rsidP="0085289F">
            <w:pPr>
              <w:spacing w:after="0"/>
              <w:jc w:val="center"/>
              <w:rPr>
                <w:rFonts w:cstheme="minorHAnsi"/>
                <w:color w:val="0D0D0D"/>
                <w:sz w:val="24"/>
                <w:szCs w:val="24"/>
                <w:shd w:val="clear" w:color="auto" w:fill="FFFFFF"/>
              </w:rPr>
            </w:pPr>
            <w:r w:rsidRPr="0085289F">
              <w:rPr>
                <w:rFonts w:cstheme="minorHAnsi"/>
                <w:color w:val="0D0D0D"/>
                <w:sz w:val="24"/>
                <w:szCs w:val="24"/>
                <w:shd w:val="clear" w:color="auto" w:fill="FFFFFF"/>
              </w:rPr>
              <w:t>45.00</w:t>
            </w:r>
          </w:p>
        </w:tc>
      </w:tr>
    </w:tbl>
    <w:p w14:paraId="7979BADD" w14:textId="77777777" w:rsidR="00F022AC" w:rsidRPr="0085289F" w:rsidRDefault="00F022AC" w:rsidP="005A6136">
      <w:pPr>
        <w:spacing w:after="0"/>
        <w:jc w:val="both"/>
        <w:rPr>
          <w:rFonts w:cstheme="minorHAnsi"/>
          <w:color w:val="0D0D0D"/>
          <w:sz w:val="24"/>
          <w:szCs w:val="24"/>
          <w:shd w:val="clear" w:color="auto" w:fill="FFFFFF"/>
        </w:rPr>
      </w:pPr>
    </w:p>
    <w:p w14:paraId="4E02A28D" w14:textId="77777777" w:rsidR="00F022AC" w:rsidRPr="004A5CCA" w:rsidRDefault="00F022AC" w:rsidP="005A6136">
      <w:pPr>
        <w:spacing w:after="0"/>
        <w:jc w:val="both"/>
        <w:rPr>
          <w:rFonts w:cstheme="minorHAnsi"/>
          <w:b/>
          <w:i/>
          <w:color w:val="0D0D0D"/>
          <w:sz w:val="24"/>
          <w:szCs w:val="24"/>
          <w:shd w:val="clear" w:color="auto" w:fill="FFFFFF"/>
        </w:rPr>
      </w:pPr>
      <w:r w:rsidRPr="004A5CCA">
        <w:rPr>
          <w:rFonts w:cstheme="minorHAnsi"/>
          <w:b/>
          <w:i/>
          <w:color w:val="0D0D0D"/>
          <w:sz w:val="24"/>
          <w:szCs w:val="24"/>
          <w:shd w:val="clear" w:color="auto" w:fill="FFFFFF"/>
        </w:rPr>
        <w:t>Determine:</w:t>
      </w:r>
    </w:p>
    <w:p w14:paraId="5622D536" w14:textId="07E551E2" w:rsidR="00F022AC" w:rsidRPr="00DB1393" w:rsidRDefault="0085289F" w:rsidP="00F022AC">
      <w:pPr>
        <w:pStyle w:val="ListParagraph"/>
        <w:numPr>
          <w:ilvl w:val="0"/>
          <w:numId w:val="15"/>
        </w:numPr>
        <w:spacing w:after="0"/>
        <w:jc w:val="both"/>
        <w:rPr>
          <w:rFonts w:cstheme="minorHAnsi"/>
          <w:b/>
          <w:bCs/>
          <w:color w:val="0D0D0D"/>
          <w:sz w:val="24"/>
          <w:szCs w:val="24"/>
          <w:shd w:val="clear" w:color="auto" w:fill="FFFFFF"/>
        </w:rPr>
      </w:pPr>
      <w:r>
        <w:rPr>
          <w:rFonts w:cstheme="minorHAnsi"/>
          <w:color w:val="0D0D0D"/>
          <w:sz w:val="24"/>
          <w:szCs w:val="24"/>
          <w:shd w:val="clear" w:color="auto" w:fill="FFFFFF"/>
        </w:rPr>
        <w:t>Pre–merger</w:t>
      </w:r>
      <w:r w:rsidR="00F022AC" w:rsidRPr="0085289F">
        <w:rPr>
          <w:rFonts w:cstheme="minorHAnsi"/>
          <w:color w:val="0D0D0D"/>
          <w:sz w:val="24"/>
          <w:szCs w:val="24"/>
          <w:shd w:val="clear" w:color="auto" w:fill="FFFFFF"/>
        </w:rPr>
        <w:t xml:space="preserve"> market value per share for both companies.</w:t>
      </w:r>
      <w:r>
        <w:rPr>
          <w:rFonts w:cstheme="minorHAnsi"/>
          <w:color w:val="0D0D0D"/>
          <w:sz w:val="24"/>
          <w:szCs w:val="24"/>
          <w:shd w:val="clear" w:color="auto" w:fill="FFFFFF"/>
        </w:rPr>
        <w:t xml:space="preserve"> </w:t>
      </w:r>
      <w:r>
        <w:rPr>
          <w:rFonts w:cstheme="minorHAnsi"/>
          <w:color w:val="0D0D0D"/>
          <w:sz w:val="24"/>
          <w:szCs w:val="24"/>
          <w:shd w:val="clear" w:color="auto" w:fill="FFFFFF"/>
        </w:rPr>
        <w:tab/>
      </w:r>
      <w:r>
        <w:rPr>
          <w:rFonts w:cstheme="minorHAnsi"/>
          <w:color w:val="0D0D0D"/>
          <w:sz w:val="24"/>
          <w:szCs w:val="24"/>
          <w:shd w:val="clear" w:color="auto" w:fill="FFFFFF"/>
        </w:rPr>
        <w:tab/>
      </w:r>
      <w:r w:rsidR="00DB1393">
        <w:rPr>
          <w:rFonts w:cstheme="minorHAnsi"/>
          <w:color w:val="0D0D0D"/>
          <w:sz w:val="24"/>
          <w:szCs w:val="24"/>
          <w:shd w:val="clear" w:color="auto" w:fill="FFFFFF"/>
        </w:rPr>
        <w:t xml:space="preserve">                      </w:t>
      </w:r>
      <w:r w:rsidRPr="00DB1393">
        <w:rPr>
          <w:rFonts w:cstheme="minorHAnsi"/>
          <w:b/>
          <w:bCs/>
          <w:color w:val="0D0D0D"/>
          <w:sz w:val="24"/>
          <w:szCs w:val="24"/>
          <w:shd w:val="clear" w:color="auto" w:fill="FFFFFF"/>
        </w:rPr>
        <w:t>(2 marks)</w:t>
      </w:r>
    </w:p>
    <w:p w14:paraId="115A583B" w14:textId="7C1DAB76" w:rsidR="00F022AC" w:rsidRDefault="0085289F" w:rsidP="00F022AC">
      <w:pPr>
        <w:pStyle w:val="ListParagraph"/>
        <w:numPr>
          <w:ilvl w:val="0"/>
          <w:numId w:val="15"/>
        </w:numPr>
        <w:spacing w:after="0"/>
        <w:jc w:val="both"/>
        <w:rPr>
          <w:rFonts w:cstheme="minorHAnsi"/>
          <w:color w:val="0D0D0D"/>
          <w:sz w:val="24"/>
          <w:szCs w:val="24"/>
          <w:shd w:val="clear" w:color="auto" w:fill="FFFFFF"/>
        </w:rPr>
      </w:pPr>
      <w:r>
        <w:rPr>
          <w:rFonts w:cstheme="minorHAnsi"/>
          <w:color w:val="0D0D0D"/>
          <w:sz w:val="24"/>
          <w:szCs w:val="24"/>
          <w:shd w:val="clear" w:color="auto" w:fill="FFFFFF"/>
        </w:rPr>
        <w:t>Post-merger</w:t>
      </w:r>
      <w:r w:rsidR="00F022AC" w:rsidRPr="0085289F">
        <w:rPr>
          <w:rFonts w:cstheme="minorHAnsi"/>
          <w:color w:val="0D0D0D"/>
          <w:sz w:val="24"/>
          <w:szCs w:val="24"/>
          <w:shd w:val="clear" w:color="auto" w:fill="FFFFFF"/>
        </w:rPr>
        <w:t xml:space="preserve"> EPS, if </w:t>
      </w:r>
      <w:r>
        <w:rPr>
          <w:rFonts w:cstheme="minorHAnsi"/>
          <w:color w:val="0D0D0D"/>
          <w:sz w:val="24"/>
          <w:szCs w:val="24"/>
          <w:shd w:val="clear" w:color="auto" w:fill="FFFFFF"/>
        </w:rPr>
        <w:t>Nick Jonas Co.</w:t>
      </w:r>
      <w:r w:rsidR="00F022AC" w:rsidRPr="0085289F">
        <w:rPr>
          <w:rFonts w:cstheme="minorHAnsi"/>
          <w:color w:val="0D0D0D"/>
          <w:sz w:val="24"/>
          <w:szCs w:val="24"/>
          <w:shd w:val="clear" w:color="auto" w:fill="FFFFFF"/>
        </w:rPr>
        <w:t xml:space="preserve"> shareholders are offered a share of (</w:t>
      </w:r>
      <w:proofErr w:type="spellStart"/>
      <w:r w:rsidR="00F022AC" w:rsidRPr="0085289F">
        <w:rPr>
          <w:rFonts w:cstheme="minorHAnsi"/>
          <w:color w:val="0D0D0D"/>
          <w:sz w:val="24"/>
          <w:szCs w:val="24"/>
          <w:shd w:val="clear" w:color="auto" w:fill="FFFFFF"/>
        </w:rPr>
        <w:t>i</w:t>
      </w:r>
      <w:proofErr w:type="spellEnd"/>
      <w:r w:rsidR="00F022AC" w:rsidRPr="0085289F">
        <w:rPr>
          <w:rFonts w:cstheme="minorHAnsi"/>
          <w:color w:val="0D0D0D"/>
          <w:sz w:val="24"/>
          <w:szCs w:val="24"/>
          <w:shd w:val="clear" w:color="auto" w:fill="FFFFFF"/>
        </w:rPr>
        <w:t xml:space="preserve">) Rs. 30, or (ii) Rs. 56 in a share exchange for </w:t>
      </w:r>
      <w:r>
        <w:rPr>
          <w:rFonts w:cstheme="minorHAnsi"/>
          <w:color w:val="0D0D0D"/>
          <w:sz w:val="24"/>
          <w:szCs w:val="24"/>
          <w:shd w:val="clear" w:color="auto" w:fill="FFFFFF"/>
        </w:rPr>
        <w:t xml:space="preserve">the </w:t>
      </w:r>
      <w:r w:rsidR="00F022AC" w:rsidRPr="0085289F">
        <w:rPr>
          <w:rFonts w:cstheme="minorHAnsi"/>
          <w:color w:val="0D0D0D"/>
          <w:sz w:val="24"/>
          <w:szCs w:val="24"/>
          <w:shd w:val="clear" w:color="auto" w:fill="FFFFFF"/>
        </w:rPr>
        <w:t>merger</w:t>
      </w:r>
      <w:r w:rsidR="00494ACC">
        <w:rPr>
          <w:rFonts w:cstheme="minorHAnsi"/>
          <w:color w:val="0D0D0D"/>
          <w:sz w:val="24"/>
          <w:szCs w:val="24"/>
          <w:shd w:val="clear" w:color="auto" w:fill="FFFFFF"/>
        </w:rPr>
        <w:tab/>
      </w:r>
      <w:r w:rsidR="00494ACC">
        <w:rPr>
          <w:rFonts w:cstheme="minorHAnsi"/>
          <w:color w:val="0D0D0D"/>
          <w:sz w:val="24"/>
          <w:szCs w:val="24"/>
          <w:shd w:val="clear" w:color="auto" w:fill="FFFFFF"/>
        </w:rPr>
        <w:tab/>
      </w:r>
      <w:r w:rsidR="00494ACC">
        <w:rPr>
          <w:rFonts w:cstheme="minorHAnsi"/>
          <w:color w:val="0D0D0D"/>
          <w:sz w:val="24"/>
          <w:szCs w:val="24"/>
          <w:shd w:val="clear" w:color="auto" w:fill="FFFFFF"/>
        </w:rPr>
        <w:tab/>
      </w:r>
      <w:r w:rsidR="00494ACC">
        <w:rPr>
          <w:rFonts w:cstheme="minorHAnsi"/>
          <w:color w:val="0D0D0D"/>
          <w:sz w:val="24"/>
          <w:szCs w:val="24"/>
          <w:shd w:val="clear" w:color="auto" w:fill="FFFFFF"/>
        </w:rPr>
        <w:tab/>
      </w:r>
      <w:r w:rsidR="00DB1393">
        <w:rPr>
          <w:rFonts w:cstheme="minorHAnsi"/>
          <w:color w:val="0D0D0D"/>
          <w:sz w:val="24"/>
          <w:szCs w:val="24"/>
          <w:shd w:val="clear" w:color="auto" w:fill="FFFFFF"/>
        </w:rPr>
        <w:t xml:space="preserve">                   </w:t>
      </w:r>
      <w:proofErr w:type="gramStart"/>
      <w:r w:rsidR="00DB1393">
        <w:rPr>
          <w:rFonts w:cstheme="minorHAnsi"/>
          <w:color w:val="0D0D0D"/>
          <w:sz w:val="24"/>
          <w:szCs w:val="24"/>
          <w:shd w:val="clear" w:color="auto" w:fill="FFFFFF"/>
        </w:rPr>
        <w:t xml:space="preserve">   </w:t>
      </w:r>
      <w:r w:rsidRPr="00DB1393">
        <w:rPr>
          <w:rFonts w:cstheme="minorHAnsi"/>
          <w:b/>
          <w:bCs/>
          <w:color w:val="0D0D0D"/>
          <w:sz w:val="24"/>
          <w:szCs w:val="24"/>
          <w:shd w:val="clear" w:color="auto" w:fill="FFFFFF"/>
        </w:rPr>
        <w:t>(</w:t>
      </w:r>
      <w:proofErr w:type="gramEnd"/>
      <w:r w:rsidR="00866584" w:rsidRPr="00DB1393">
        <w:rPr>
          <w:rFonts w:cstheme="minorHAnsi"/>
          <w:b/>
          <w:bCs/>
          <w:color w:val="0D0D0D"/>
          <w:sz w:val="24"/>
          <w:szCs w:val="24"/>
          <w:shd w:val="clear" w:color="auto" w:fill="FFFFFF"/>
        </w:rPr>
        <w:t>6</w:t>
      </w:r>
      <w:r w:rsidRPr="00DB1393">
        <w:rPr>
          <w:rFonts w:cstheme="minorHAnsi"/>
          <w:b/>
          <w:bCs/>
          <w:color w:val="0D0D0D"/>
          <w:sz w:val="24"/>
          <w:szCs w:val="24"/>
          <w:shd w:val="clear" w:color="auto" w:fill="FFFFFF"/>
        </w:rPr>
        <w:t xml:space="preserve"> marks)</w:t>
      </w:r>
    </w:p>
    <w:p w14:paraId="51F77A38" w14:textId="77777777" w:rsidR="0085289F" w:rsidRDefault="0085289F" w:rsidP="0085289F">
      <w:pPr>
        <w:pStyle w:val="ListParagraph"/>
        <w:spacing w:after="0"/>
        <w:jc w:val="both"/>
        <w:rPr>
          <w:rFonts w:cstheme="minorHAnsi"/>
          <w:color w:val="0D0D0D"/>
          <w:sz w:val="24"/>
          <w:szCs w:val="24"/>
          <w:shd w:val="clear" w:color="auto" w:fill="FFFFFF"/>
        </w:rPr>
      </w:pPr>
    </w:p>
    <w:p w14:paraId="145D9061" w14:textId="77777777" w:rsidR="004A3C31" w:rsidRDefault="004A3C31" w:rsidP="004A5CCA">
      <w:pPr>
        <w:spacing w:after="0"/>
        <w:jc w:val="both"/>
        <w:rPr>
          <w:rFonts w:cstheme="minorHAnsi"/>
          <w:color w:val="0D0D0D"/>
          <w:sz w:val="24"/>
          <w:szCs w:val="24"/>
          <w:shd w:val="clear" w:color="auto" w:fill="FFFFFF"/>
        </w:rPr>
      </w:pPr>
    </w:p>
    <w:p w14:paraId="1E188552" w14:textId="019CD7D5" w:rsidR="004A5CCA" w:rsidRDefault="0085289F" w:rsidP="004A5CCA">
      <w:pPr>
        <w:spacing w:after="0"/>
        <w:jc w:val="both"/>
        <w:rPr>
          <w:rFonts w:cstheme="minorHAnsi"/>
          <w:color w:val="0D0D0D"/>
          <w:sz w:val="24"/>
          <w:szCs w:val="24"/>
          <w:shd w:val="clear" w:color="auto" w:fill="FFFFFF"/>
        </w:rPr>
      </w:pPr>
      <w:r w:rsidRPr="0085289F">
        <w:rPr>
          <w:rFonts w:cstheme="minorHAnsi"/>
          <w:color w:val="0D0D0D"/>
          <w:sz w:val="24"/>
          <w:szCs w:val="24"/>
          <w:shd w:val="clear" w:color="auto" w:fill="FFFFFF"/>
        </w:rPr>
        <w:t>Q5.</w:t>
      </w:r>
      <w:r>
        <w:rPr>
          <w:rFonts w:cstheme="minorHAnsi"/>
          <w:color w:val="0D0D0D"/>
          <w:sz w:val="24"/>
          <w:szCs w:val="24"/>
          <w:shd w:val="clear" w:color="auto" w:fill="FFFFFF"/>
        </w:rPr>
        <w:t xml:space="preserve"> </w:t>
      </w:r>
      <w:r w:rsidRPr="004A5CCA">
        <w:rPr>
          <w:rFonts w:cstheme="minorHAnsi"/>
          <w:b/>
          <w:i/>
          <w:color w:val="0D0D0D"/>
          <w:sz w:val="24"/>
          <w:szCs w:val="24"/>
          <w:shd w:val="clear" w:color="auto" w:fill="FFFFFF"/>
        </w:rPr>
        <w:t xml:space="preserve">Compare and </w:t>
      </w:r>
      <w:proofErr w:type="gramStart"/>
      <w:r w:rsidRPr="004A5CCA">
        <w:rPr>
          <w:rFonts w:cstheme="minorHAnsi"/>
          <w:b/>
          <w:i/>
          <w:color w:val="0D0D0D"/>
          <w:sz w:val="24"/>
          <w:szCs w:val="24"/>
          <w:shd w:val="clear" w:color="auto" w:fill="FFFFFF"/>
        </w:rPr>
        <w:t>Contrast</w:t>
      </w:r>
      <w:proofErr w:type="gramEnd"/>
      <w:r w:rsidRPr="0085289F">
        <w:rPr>
          <w:rFonts w:cstheme="minorHAnsi"/>
          <w:color w:val="0D0D0D"/>
          <w:sz w:val="24"/>
          <w:szCs w:val="24"/>
          <w:shd w:val="clear" w:color="auto" w:fill="FFFFFF"/>
        </w:rPr>
        <w:t xml:space="preserve"> the different types of demergers commonly encountered in corporate </w:t>
      </w:r>
      <w:r w:rsidR="004A5CCA">
        <w:rPr>
          <w:rFonts w:cstheme="minorHAnsi"/>
          <w:color w:val="0D0D0D"/>
          <w:sz w:val="24"/>
          <w:szCs w:val="24"/>
          <w:shd w:val="clear" w:color="auto" w:fill="FFFFFF"/>
        </w:rPr>
        <w:t>restructurings</w:t>
      </w:r>
      <w:r w:rsidRPr="0085289F">
        <w:rPr>
          <w:rFonts w:cstheme="minorHAnsi"/>
          <w:color w:val="0D0D0D"/>
          <w:sz w:val="24"/>
          <w:szCs w:val="24"/>
          <w:shd w:val="clear" w:color="auto" w:fill="FFFFFF"/>
        </w:rPr>
        <w:t>, such as spin-offs, split-offs, and carve-outs. Evaluate the strategic motives behind each kind of demerger and assess their implications for shareholders and stakeholders. Considering the complexities involved, discuss the critical role played by investment banking firms in providing advisory services to companies undergoing demerger processes, highlighting key considerations and strategies for maximizing valu</w:t>
      </w:r>
      <w:r w:rsidR="004A5CCA">
        <w:rPr>
          <w:rFonts w:cstheme="minorHAnsi"/>
          <w:color w:val="0D0D0D"/>
          <w:sz w:val="24"/>
          <w:szCs w:val="24"/>
          <w:shd w:val="clear" w:color="auto" w:fill="FFFFFF"/>
        </w:rPr>
        <w:t xml:space="preserve">e creation and mitigating risks. </w:t>
      </w:r>
      <w:r w:rsidR="00DB1393">
        <w:rPr>
          <w:rFonts w:cstheme="minorHAnsi"/>
          <w:color w:val="0D0D0D"/>
          <w:sz w:val="24"/>
          <w:szCs w:val="24"/>
          <w:shd w:val="clear" w:color="auto" w:fill="FFFFFF"/>
        </w:rPr>
        <w:t xml:space="preserve">         </w:t>
      </w:r>
      <w:r w:rsidR="004A5CCA" w:rsidRPr="00DB1393">
        <w:rPr>
          <w:rFonts w:cstheme="minorHAnsi"/>
          <w:b/>
          <w:bCs/>
          <w:color w:val="0D0D0D"/>
          <w:sz w:val="24"/>
          <w:szCs w:val="24"/>
          <w:shd w:val="clear" w:color="auto" w:fill="FFFFFF"/>
        </w:rPr>
        <w:t>(</w:t>
      </w:r>
      <w:r w:rsidR="00866584" w:rsidRPr="00DB1393">
        <w:rPr>
          <w:rFonts w:cstheme="minorHAnsi"/>
          <w:b/>
          <w:bCs/>
          <w:color w:val="0D0D0D"/>
          <w:sz w:val="24"/>
          <w:szCs w:val="24"/>
          <w:shd w:val="clear" w:color="auto" w:fill="FFFFFF"/>
        </w:rPr>
        <w:t>8</w:t>
      </w:r>
      <w:r w:rsidR="004A5CCA" w:rsidRPr="00DB1393">
        <w:rPr>
          <w:rFonts w:cstheme="minorHAnsi"/>
          <w:b/>
          <w:bCs/>
          <w:color w:val="0D0D0D"/>
          <w:sz w:val="24"/>
          <w:szCs w:val="24"/>
          <w:shd w:val="clear" w:color="auto" w:fill="FFFFFF"/>
        </w:rPr>
        <w:t>marks)</w:t>
      </w:r>
    </w:p>
    <w:sectPr w:rsidR="004A5CCA"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036AB" w14:textId="77777777" w:rsidR="00F608D8" w:rsidRDefault="00F608D8" w:rsidP="00565F93">
      <w:pPr>
        <w:spacing w:after="0" w:line="240" w:lineRule="auto"/>
      </w:pPr>
      <w:r>
        <w:separator/>
      </w:r>
    </w:p>
  </w:endnote>
  <w:endnote w:type="continuationSeparator" w:id="0">
    <w:p w14:paraId="3911A497" w14:textId="77777777" w:rsidR="00F608D8" w:rsidRDefault="00F608D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938368"/>
      <w:docPartObj>
        <w:docPartGallery w:val="Page Numbers (Bottom of Page)"/>
        <w:docPartUnique/>
      </w:docPartObj>
    </w:sdtPr>
    <w:sdtEndPr>
      <w:rPr>
        <w:noProof/>
      </w:rPr>
    </w:sdtEndPr>
    <w:sdtContent>
      <w:p w14:paraId="343BBC7D" w14:textId="77777777" w:rsidR="00E70AC1" w:rsidRDefault="00E70AC1">
        <w:pPr>
          <w:pStyle w:val="Footer"/>
          <w:jc w:val="center"/>
        </w:pPr>
        <w:r>
          <w:fldChar w:fldCharType="begin"/>
        </w:r>
        <w:r>
          <w:instrText xml:space="preserve"> PAGE   \* MERGEFORMAT </w:instrText>
        </w:r>
        <w:r>
          <w:fldChar w:fldCharType="separate"/>
        </w:r>
        <w:r w:rsidR="00131808">
          <w:rPr>
            <w:noProof/>
          </w:rPr>
          <w:t>4</w:t>
        </w:r>
        <w:r>
          <w:rPr>
            <w:noProof/>
          </w:rPr>
          <w:fldChar w:fldCharType="end"/>
        </w:r>
      </w:p>
    </w:sdtContent>
  </w:sdt>
  <w:p w14:paraId="72BAD8B4" w14:textId="77777777" w:rsidR="00B66085" w:rsidRDefault="00B66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28BF5" w14:textId="77777777" w:rsidR="00F608D8" w:rsidRDefault="00F608D8" w:rsidP="00565F93">
      <w:pPr>
        <w:spacing w:after="0" w:line="240" w:lineRule="auto"/>
      </w:pPr>
      <w:r>
        <w:separator/>
      </w:r>
    </w:p>
  </w:footnote>
  <w:footnote w:type="continuationSeparator" w:id="0">
    <w:p w14:paraId="24C2C88F" w14:textId="77777777" w:rsidR="00F608D8" w:rsidRDefault="00F608D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BE07F" w14:textId="77777777" w:rsidR="00B66085" w:rsidRDefault="00B66085" w:rsidP="00BB291F">
    <w:pPr>
      <w:pStyle w:val="Header"/>
    </w:pPr>
    <w:r>
      <w:t xml:space="preserve">                                                                                                                                                 </w:t>
    </w:r>
  </w:p>
  <w:p w14:paraId="0000382A" w14:textId="77777777" w:rsidR="00B66085" w:rsidRPr="00903A58" w:rsidRDefault="00B66085"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15967"/>
    <w:multiLevelType w:val="hybridMultilevel"/>
    <w:tmpl w:val="2792642C"/>
    <w:lvl w:ilvl="0" w:tplc="677C6F00">
      <w:start w:val="1"/>
      <w:numFmt w:val="bullet"/>
      <w:lvlText w:val="•"/>
      <w:lvlJc w:val="left"/>
      <w:pPr>
        <w:tabs>
          <w:tab w:val="num" w:pos="720"/>
        </w:tabs>
        <w:ind w:left="720" w:hanging="360"/>
      </w:pPr>
      <w:rPr>
        <w:rFonts w:ascii="Arial" w:hAnsi="Arial" w:hint="default"/>
      </w:rPr>
    </w:lvl>
    <w:lvl w:ilvl="1" w:tplc="B4A24F78" w:tentative="1">
      <w:start w:val="1"/>
      <w:numFmt w:val="bullet"/>
      <w:lvlText w:val="•"/>
      <w:lvlJc w:val="left"/>
      <w:pPr>
        <w:tabs>
          <w:tab w:val="num" w:pos="1440"/>
        </w:tabs>
        <w:ind w:left="1440" w:hanging="360"/>
      </w:pPr>
      <w:rPr>
        <w:rFonts w:ascii="Arial" w:hAnsi="Arial" w:hint="default"/>
      </w:rPr>
    </w:lvl>
    <w:lvl w:ilvl="2" w:tplc="28442B42" w:tentative="1">
      <w:start w:val="1"/>
      <w:numFmt w:val="bullet"/>
      <w:lvlText w:val="•"/>
      <w:lvlJc w:val="left"/>
      <w:pPr>
        <w:tabs>
          <w:tab w:val="num" w:pos="2160"/>
        </w:tabs>
        <w:ind w:left="2160" w:hanging="360"/>
      </w:pPr>
      <w:rPr>
        <w:rFonts w:ascii="Arial" w:hAnsi="Arial" w:hint="default"/>
      </w:rPr>
    </w:lvl>
    <w:lvl w:ilvl="3" w:tplc="FBC44978" w:tentative="1">
      <w:start w:val="1"/>
      <w:numFmt w:val="bullet"/>
      <w:lvlText w:val="•"/>
      <w:lvlJc w:val="left"/>
      <w:pPr>
        <w:tabs>
          <w:tab w:val="num" w:pos="2880"/>
        </w:tabs>
        <w:ind w:left="2880" w:hanging="360"/>
      </w:pPr>
      <w:rPr>
        <w:rFonts w:ascii="Arial" w:hAnsi="Arial" w:hint="default"/>
      </w:rPr>
    </w:lvl>
    <w:lvl w:ilvl="4" w:tplc="050AA456" w:tentative="1">
      <w:start w:val="1"/>
      <w:numFmt w:val="bullet"/>
      <w:lvlText w:val="•"/>
      <w:lvlJc w:val="left"/>
      <w:pPr>
        <w:tabs>
          <w:tab w:val="num" w:pos="3600"/>
        </w:tabs>
        <w:ind w:left="3600" w:hanging="360"/>
      </w:pPr>
      <w:rPr>
        <w:rFonts w:ascii="Arial" w:hAnsi="Arial" w:hint="default"/>
      </w:rPr>
    </w:lvl>
    <w:lvl w:ilvl="5" w:tplc="E06C287E" w:tentative="1">
      <w:start w:val="1"/>
      <w:numFmt w:val="bullet"/>
      <w:lvlText w:val="•"/>
      <w:lvlJc w:val="left"/>
      <w:pPr>
        <w:tabs>
          <w:tab w:val="num" w:pos="4320"/>
        </w:tabs>
        <w:ind w:left="4320" w:hanging="360"/>
      </w:pPr>
      <w:rPr>
        <w:rFonts w:ascii="Arial" w:hAnsi="Arial" w:hint="default"/>
      </w:rPr>
    </w:lvl>
    <w:lvl w:ilvl="6" w:tplc="D2DE1BB4" w:tentative="1">
      <w:start w:val="1"/>
      <w:numFmt w:val="bullet"/>
      <w:lvlText w:val="•"/>
      <w:lvlJc w:val="left"/>
      <w:pPr>
        <w:tabs>
          <w:tab w:val="num" w:pos="5040"/>
        </w:tabs>
        <w:ind w:left="5040" w:hanging="360"/>
      </w:pPr>
      <w:rPr>
        <w:rFonts w:ascii="Arial" w:hAnsi="Arial" w:hint="default"/>
      </w:rPr>
    </w:lvl>
    <w:lvl w:ilvl="7" w:tplc="2B663CD2" w:tentative="1">
      <w:start w:val="1"/>
      <w:numFmt w:val="bullet"/>
      <w:lvlText w:val="•"/>
      <w:lvlJc w:val="left"/>
      <w:pPr>
        <w:tabs>
          <w:tab w:val="num" w:pos="5760"/>
        </w:tabs>
        <w:ind w:left="5760" w:hanging="360"/>
      </w:pPr>
      <w:rPr>
        <w:rFonts w:ascii="Arial" w:hAnsi="Arial" w:hint="default"/>
      </w:rPr>
    </w:lvl>
    <w:lvl w:ilvl="8" w:tplc="D2C2DC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174E77"/>
    <w:multiLevelType w:val="hybridMultilevel"/>
    <w:tmpl w:val="04FCB722"/>
    <w:lvl w:ilvl="0" w:tplc="70002B7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1CD957DC"/>
    <w:multiLevelType w:val="hybridMultilevel"/>
    <w:tmpl w:val="BBDED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BB46A0"/>
    <w:multiLevelType w:val="hybridMultilevel"/>
    <w:tmpl w:val="CA1AF950"/>
    <w:lvl w:ilvl="0" w:tplc="6B64479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33E93E44"/>
    <w:multiLevelType w:val="multilevel"/>
    <w:tmpl w:val="EB1E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10646"/>
    <w:multiLevelType w:val="hybridMultilevel"/>
    <w:tmpl w:val="4EDCA706"/>
    <w:lvl w:ilvl="0" w:tplc="8B56F5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63B1815"/>
    <w:multiLevelType w:val="hybridMultilevel"/>
    <w:tmpl w:val="3754ED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E337DE"/>
    <w:multiLevelType w:val="hybridMultilevel"/>
    <w:tmpl w:val="387C4B94"/>
    <w:lvl w:ilvl="0" w:tplc="A366EF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6A7382"/>
    <w:multiLevelType w:val="hybridMultilevel"/>
    <w:tmpl w:val="B720FE9E"/>
    <w:lvl w:ilvl="0" w:tplc="11D45ADA">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3" w15:restartNumberingAfterBreak="0">
    <w:nsid w:val="7FD55DC9"/>
    <w:multiLevelType w:val="hybridMultilevel"/>
    <w:tmpl w:val="43243D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4782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315789">
    <w:abstractNumId w:val="1"/>
  </w:num>
  <w:num w:numId="3" w16cid:durableId="2082559341">
    <w:abstractNumId w:val="9"/>
  </w:num>
  <w:num w:numId="4" w16cid:durableId="1176844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3869204">
    <w:abstractNumId w:val="11"/>
  </w:num>
  <w:num w:numId="6" w16cid:durableId="788351926">
    <w:abstractNumId w:val="3"/>
  </w:num>
  <w:num w:numId="7" w16cid:durableId="2081632496">
    <w:abstractNumId w:val="7"/>
  </w:num>
  <w:num w:numId="8" w16cid:durableId="1867671905">
    <w:abstractNumId w:val="0"/>
  </w:num>
  <w:num w:numId="9" w16cid:durableId="1376193657">
    <w:abstractNumId w:val="10"/>
  </w:num>
  <w:num w:numId="10" w16cid:durableId="775053472">
    <w:abstractNumId w:val="2"/>
  </w:num>
  <w:num w:numId="11" w16cid:durableId="144782944">
    <w:abstractNumId w:val="12"/>
  </w:num>
  <w:num w:numId="12" w16cid:durableId="776216312">
    <w:abstractNumId w:val="8"/>
  </w:num>
  <w:num w:numId="13" w16cid:durableId="1342850516">
    <w:abstractNumId w:val="6"/>
  </w:num>
  <w:num w:numId="14" w16cid:durableId="2053384025">
    <w:abstractNumId w:val="5"/>
  </w:num>
  <w:num w:numId="15" w16cid:durableId="18274283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NDcDAgtLU1MLcyUdpeDU4uLM/DyQAuNaACsYBq4sAAAA"/>
  </w:docVars>
  <w:rsids>
    <w:rsidRoot w:val="00394D92"/>
    <w:rsid w:val="00000F8C"/>
    <w:rsid w:val="000022E7"/>
    <w:rsid w:val="00031DE4"/>
    <w:rsid w:val="000C6F0D"/>
    <w:rsid w:val="000D3FD4"/>
    <w:rsid w:val="000E546F"/>
    <w:rsid w:val="00131808"/>
    <w:rsid w:val="00147366"/>
    <w:rsid w:val="001607CB"/>
    <w:rsid w:val="001E2EBC"/>
    <w:rsid w:val="002561A5"/>
    <w:rsid w:val="002969DB"/>
    <w:rsid w:val="002B305E"/>
    <w:rsid w:val="002F36DA"/>
    <w:rsid w:val="0035261D"/>
    <w:rsid w:val="0035360D"/>
    <w:rsid w:val="00394D92"/>
    <w:rsid w:val="003C746A"/>
    <w:rsid w:val="003D5570"/>
    <w:rsid w:val="004058EE"/>
    <w:rsid w:val="00470A63"/>
    <w:rsid w:val="004817D9"/>
    <w:rsid w:val="00494ACC"/>
    <w:rsid w:val="004A27C6"/>
    <w:rsid w:val="004A3C31"/>
    <w:rsid w:val="004A5CCA"/>
    <w:rsid w:val="005342D2"/>
    <w:rsid w:val="005544AB"/>
    <w:rsid w:val="00565F93"/>
    <w:rsid w:val="00571147"/>
    <w:rsid w:val="00583BC1"/>
    <w:rsid w:val="005A6136"/>
    <w:rsid w:val="005D1618"/>
    <w:rsid w:val="006450DD"/>
    <w:rsid w:val="00674B1C"/>
    <w:rsid w:val="00682001"/>
    <w:rsid w:val="006941C9"/>
    <w:rsid w:val="006A7206"/>
    <w:rsid w:val="0070146B"/>
    <w:rsid w:val="00731471"/>
    <w:rsid w:val="007646FE"/>
    <w:rsid w:val="00797951"/>
    <w:rsid w:val="007B6C95"/>
    <w:rsid w:val="007E6D1B"/>
    <w:rsid w:val="00822D17"/>
    <w:rsid w:val="0085289F"/>
    <w:rsid w:val="00856DC2"/>
    <w:rsid w:val="00866584"/>
    <w:rsid w:val="009012A2"/>
    <w:rsid w:val="00903A58"/>
    <w:rsid w:val="0091524B"/>
    <w:rsid w:val="00921E9B"/>
    <w:rsid w:val="009231A7"/>
    <w:rsid w:val="00923DCD"/>
    <w:rsid w:val="00956BDE"/>
    <w:rsid w:val="00956E30"/>
    <w:rsid w:val="00983AF0"/>
    <w:rsid w:val="009C1C2F"/>
    <w:rsid w:val="009E38F9"/>
    <w:rsid w:val="00A07025"/>
    <w:rsid w:val="00A80CE0"/>
    <w:rsid w:val="00A964EE"/>
    <w:rsid w:val="00AA0EE8"/>
    <w:rsid w:val="00AF7654"/>
    <w:rsid w:val="00B44A19"/>
    <w:rsid w:val="00B54346"/>
    <w:rsid w:val="00B66085"/>
    <w:rsid w:val="00B71AD9"/>
    <w:rsid w:val="00BA591D"/>
    <w:rsid w:val="00BB291F"/>
    <w:rsid w:val="00BC7110"/>
    <w:rsid w:val="00C01896"/>
    <w:rsid w:val="00C52051"/>
    <w:rsid w:val="00CA039D"/>
    <w:rsid w:val="00CA3EF1"/>
    <w:rsid w:val="00CB5A86"/>
    <w:rsid w:val="00D12FBB"/>
    <w:rsid w:val="00D148BF"/>
    <w:rsid w:val="00D336E6"/>
    <w:rsid w:val="00D538BE"/>
    <w:rsid w:val="00DB1393"/>
    <w:rsid w:val="00DC33D6"/>
    <w:rsid w:val="00DD234B"/>
    <w:rsid w:val="00DD730E"/>
    <w:rsid w:val="00E01F1C"/>
    <w:rsid w:val="00E0384F"/>
    <w:rsid w:val="00E16D71"/>
    <w:rsid w:val="00E42CBE"/>
    <w:rsid w:val="00E61C02"/>
    <w:rsid w:val="00E70AC1"/>
    <w:rsid w:val="00EB7527"/>
    <w:rsid w:val="00F022AC"/>
    <w:rsid w:val="00F14BA7"/>
    <w:rsid w:val="00F17A5B"/>
    <w:rsid w:val="00F20660"/>
    <w:rsid w:val="00F433A7"/>
    <w:rsid w:val="00F608D8"/>
    <w:rsid w:val="00F64E12"/>
    <w:rsid w:val="00FA7332"/>
    <w:rsid w:val="00FB2858"/>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70BE2"/>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CA3EF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CA3EF1"/>
    <w:rPr>
      <w:color w:val="0000FF"/>
      <w:u w:val="single"/>
    </w:rPr>
  </w:style>
  <w:style w:type="character" w:styleId="Strong">
    <w:name w:val="Strong"/>
    <w:basedOn w:val="DefaultParagraphFont"/>
    <w:uiPriority w:val="22"/>
    <w:qFormat/>
    <w:rsid w:val="005A6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35392809">
      <w:bodyDiv w:val="1"/>
      <w:marLeft w:val="0"/>
      <w:marRight w:val="0"/>
      <w:marTop w:val="0"/>
      <w:marBottom w:val="0"/>
      <w:divBdr>
        <w:top w:val="none" w:sz="0" w:space="0" w:color="auto"/>
        <w:left w:val="none" w:sz="0" w:space="0" w:color="auto"/>
        <w:bottom w:val="none" w:sz="0" w:space="0" w:color="auto"/>
        <w:right w:val="none" w:sz="0" w:space="0" w:color="auto"/>
      </w:divBdr>
      <w:divsChild>
        <w:div w:id="476339754">
          <w:marLeft w:val="0"/>
          <w:marRight w:val="0"/>
          <w:marTop w:val="0"/>
          <w:marBottom w:val="0"/>
          <w:divBdr>
            <w:top w:val="none" w:sz="0" w:space="0" w:color="auto"/>
            <w:left w:val="none" w:sz="0" w:space="0" w:color="auto"/>
            <w:bottom w:val="none" w:sz="0" w:space="0" w:color="auto"/>
            <w:right w:val="none" w:sz="0" w:space="0" w:color="auto"/>
          </w:divBdr>
        </w:div>
      </w:divsChild>
    </w:div>
    <w:div w:id="588923467">
      <w:bodyDiv w:val="1"/>
      <w:marLeft w:val="0"/>
      <w:marRight w:val="0"/>
      <w:marTop w:val="0"/>
      <w:marBottom w:val="0"/>
      <w:divBdr>
        <w:top w:val="none" w:sz="0" w:space="0" w:color="auto"/>
        <w:left w:val="none" w:sz="0" w:space="0" w:color="auto"/>
        <w:bottom w:val="none" w:sz="0" w:space="0" w:color="auto"/>
        <w:right w:val="none" w:sz="0" w:space="0" w:color="auto"/>
      </w:divBdr>
    </w:div>
    <w:div w:id="717752536">
      <w:bodyDiv w:val="1"/>
      <w:marLeft w:val="0"/>
      <w:marRight w:val="0"/>
      <w:marTop w:val="0"/>
      <w:marBottom w:val="0"/>
      <w:divBdr>
        <w:top w:val="none" w:sz="0" w:space="0" w:color="auto"/>
        <w:left w:val="none" w:sz="0" w:space="0" w:color="auto"/>
        <w:bottom w:val="none" w:sz="0" w:space="0" w:color="auto"/>
        <w:right w:val="none" w:sz="0" w:space="0" w:color="auto"/>
      </w:divBdr>
      <w:divsChild>
        <w:div w:id="184755747">
          <w:marLeft w:val="0"/>
          <w:marRight w:val="0"/>
          <w:marTop w:val="0"/>
          <w:marBottom w:val="0"/>
          <w:divBdr>
            <w:top w:val="none" w:sz="0" w:space="0" w:color="auto"/>
            <w:left w:val="none" w:sz="0" w:space="0" w:color="auto"/>
            <w:bottom w:val="none" w:sz="0" w:space="0" w:color="auto"/>
            <w:right w:val="none" w:sz="0" w:space="0" w:color="auto"/>
          </w:divBdr>
        </w:div>
      </w:divsChild>
    </w:div>
    <w:div w:id="1220627709">
      <w:bodyDiv w:val="1"/>
      <w:marLeft w:val="0"/>
      <w:marRight w:val="0"/>
      <w:marTop w:val="0"/>
      <w:marBottom w:val="0"/>
      <w:divBdr>
        <w:top w:val="none" w:sz="0" w:space="0" w:color="auto"/>
        <w:left w:val="none" w:sz="0" w:space="0" w:color="auto"/>
        <w:bottom w:val="none" w:sz="0" w:space="0" w:color="auto"/>
        <w:right w:val="none" w:sz="0" w:space="0" w:color="auto"/>
      </w:divBdr>
      <w:divsChild>
        <w:div w:id="493569284">
          <w:marLeft w:val="0"/>
          <w:marRight w:val="0"/>
          <w:marTop w:val="0"/>
          <w:marBottom w:val="0"/>
          <w:divBdr>
            <w:top w:val="none" w:sz="0" w:space="0" w:color="auto"/>
            <w:left w:val="none" w:sz="0" w:space="0" w:color="auto"/>
            <w:bottom w:val="none" w:sz="0" w:space="0" w:color="auto"/>
            <w:right w:val="none" w:sz="0" w:space="0" w:color="auto"/>
          </w:divBdr>
        </w:div>
      </w:divsChild>
    </w:div>
    <w:div w:id="1408991059">
      <w:bodyDiv w:val="1"/>
      <w:marLeft w:val="0"/>
      <w:marRight w:val="0"/>
      <w:marTop w:val="0"/>
      <w:marBottom w:val="0"/>
      <w:divBdr>
        <w:top w:val="none" w:sz="0" w:space="0" w:color="auto"/>
        <w:left w:val="none" w:sz="0" w:space="0" w:color="auto"/>
        <w:bottom w:val="none" w:sz="0" w:space="0" w:color="auto"/>
        <w:right w:val="none" w:sz="0" w:space="0" w:color="auto"/>
      </w:divBdr>
      <w:divsChild>
        <w:div w:id="822042976">
          <w:marLeft w:val="0"/>
          <w:marRight w:val="0"/>
          <w:marTop w:val="0"/>
          <w:marBottom w:val="0"/>
          <w:divBdr>
            <w:top w:val="none" w:sz="0" w:space="0" w:color="auto"/>
            <w:left w:val="none" w:sz="0" w:space="0" w:color="auto"/>
            <w:bottom w:val="none" w:sz="0" w:space="0" w:color="auto"/>
            <w:right w:val="none" w:sz="0" w:space="0" w:color="auto"/>
          </w:divBdr>
        </w:div>
      </w:divsChild>
    </w:div>
    <w:div w:id="146840050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D3FA-0C37-42A0-92D4-DFB5B5FA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7</cp:revision>
  <dcterms:created xsi:type="dcterms:W3CDTF">2024-09-23T07:05:00Z</dcterms:created>
  <dcterms:modified xsi:type="dcterms:W3CDTF">2024-11-26T07:12:00Z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