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921E9B" w14:paraId="25920C56" w14:textId="77777777" w:rsidTr="00000F8C">
        <w:trPr>
          <w:trHeight w:val="827"/>
        </w:trPr>
        <w:tc>
          <w:tcPr>
            <w:tcW w:w="1441" w:type="pct"/>
          </w:tcPr>
          <w:p w14:paraId="4C4FBEC2"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752ED095" wp14:editId="2004D02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A55F5D7"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3EC4F905"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3BB50EBF" w14:textId="77777777" w:rsidTr="00000F8C">
        <w:trPr>
          <w:trHeight w:val="755"/>
        </w:trPr>
        <w:tc>
          <w:tcPr>
            <w:tcW w:w="5000" w:type="pct"/>
            <w:gridSpan w:val="2"/>
          </w:tcPr>
          <w:p w14:paraId="6EEFF8B6" w14:textId="4F2FEEA2" w:rsidR="003D5570" w:rsidRPr="008C54C9" w:rsidRDefault="003D5570" w:rsidP="00BB291F">
            <w:pPr>
              <w:tabs>
                <w:tab w:val="left" w:pos="90"/>
              </w:tabs>
              <w:spacing w:after="0"/>
              <w:jc w:val="center"/>
              <w:rPr>
                <w:rFonts w:ascii="Calibri" w:hAnsi="Calibri" w:cs="Calibri"/>
                <w:b/>
                <w:sz w:val="28"/>
                <w:szCs w:val="28"/>
                <w:lang w:val="en-IN"/>
              </w:rPr>
            </w:pPr>
            <w:r w:rsidRPr="008C54C9">
              <w:rPr>
                <w:rFonts w:ascii="Calibri" w:hAnsi="Calibri" w:cs="Calibri"/>
                <w:b/>
                <w:sz w:val="28"/>
                <w:szCs w:val="28"/>
                <w:lang w:val="en-IN"/>
              </w:rPr>
              <w:t>Cours</w:t>
            </w:r>
            <w:r w:rsidR="009231A7" w:rsidRPr="008C54C9">
              <w:rPr>
                <w:rFonts w:ascii="Calibri" w:hAnsi="Calibri" w:cs="Calibri"/>
                <w:b/>
                <w:sz w:val="28"/>
                <w:szCs w:val="28"/>
                <w:lang w:val="en-IN"/>
              </w:rPr>
              <w:t xml:space="preserve">e Title: </w:t>
            </w:r>
            <w:r w:rsidR="000E79D8" w:rsidRPr="008C54C9">
              <w:rPr>
                <w:rFonts w:ascii="Calibri" w:hAnsi="Calibri" w:cs="Calibri"/>
                <w:b/>
                <w:color w:val="000000" w:themeColor="text1"/>
                <w:sz w:val="28"/>
                <w:szCs w:val="28"/>
                <w:lang w:val="en-IN"/>
              </w:rPr>
              <w:t>Integrated Marketing Communication</w:t>
            </w:r>
            <w:r w:rsidR="009231A7" w:rsidRPr="008C54C9">
              <w:rPr>
                <w:rFonts w:ascii="Calibri" w:hAnsi="Calibri" w:cs="Calibri"/>
                <w:b/>
                <w:sz w:val="28"/>
                <w:szCs w:val="28"/>
                <w:lang w:val="en-IN"/>
              </w:rPr>
              <w:t xml:space="preserve">, </w:t>
            </w:r>
            <w:r w:rsidRPr="008C54C9">
              <w:rPr>
                <w:rFonts w:ascii="Calibri" w:hAnsi="Calibri" w:cs="Calibri"/>
                <w:b/>
                <w:sz w:val="28"/>
                <w:szCs w:val="28"/>
                <w:lang w:val="en-IN"/>
              </w:rPr>
              <w:t xml:space="preserve">(Course Code: </w:t>
            </w:r>
            <w:r w:rsidR="00255763" w:rsidRPr="008C54C9">
              <w:rPr>
                <w:rFonts w:ascii="Calibri" w:hAnsi="Calibri" w:cs="Calibri"/>
                <w:b/>
                <w:sz w:val="28"/>
                <w:szCs w:val="28"/>
                <w:lang w:val="en-IN"/>
              </w:rPr>
              <w:t>40</w:t>
            </w:r>
            <w:r w:rsidR="00067649" w:rsidRPr="008C54C9">
              <w:rPr>
                <w:rFonts w:ascii="Calibri" w:hAnsi="Calibri" w:cs="Calibri"/>
                <w:b/>
                <w:sz w:val="28"/>
                <w:szCs w:val="28"/>
                <w:lang w:val="en-IN"/>
              </w:rPr>
              <w:t>129</w:t>
            </w:r>
            <w:r w:rsidRPr="008C54C9">
              <w:rPr>
                <w:rFonts w:ascii="Calibri" w:hAnsi="Calibri" w:cs="Calibri"/>
                <w:b/>
                <w:sz w:val="28"/>
                <w:szCs w:val="28"/>
                <w:lang w:val="en-IN"/>
              </w:rPr>
              <w:t>)</w:t>
            </w:r>
          </w:p>
          <w:p w14:paraId="0725442C" w14:textId="525A71C5" w:rsidR="00BB291F" w:rsidRPr="009F5BC0" w:rsidRDefault="000E546F" w:rsidP="00B76407">
            <w:pPr>
              <w:tabs>
                <w:tab w:val="left" w:pos="90"/>
              </w:tabs>
              <w:spacing w:after="0"/>
              <w:jc w:val="center"/>
              <w:rPr>
                <w:rFonts w:ascii="Calibri" w:hAnsi="Calibri" w:cs="Calibri"/>
                <w:b/>
                <w:sz w:val="28"/>
                <w:szCs w:val="28"/>
                <w:lang w:val="en-IN"/>
              </w:rPr>
            </w:pPr>
            <w:r w:rsidRPr="008C54C9">
              <w:rPr>
                <w:rFonts w:ascii="Calibri" w:hAnsi="Calibri" w:cs="Calibri"/>
                <w:b/>
                <w:sz w:val="28"/>
                <w:szCs w:val="28"/>
                <w:lang w:val="en-IN"/>
              </w:rPr>
              <w:t xml:space="preserve">End-Term Examination, Term - </w:t>
            </w:r>
            <w:r w:rsidR="00067649" w:rsidRPr="008C54C9">
              <w:rPr>
                <w:rFonts w:ascii="Calibri" w:hAnsi="Calibri" w:cs="Calibri"/>
                <w:b/>
                <w:sz w:val="28"/>
                <w:szCs w:val="28"/>
                <w:lang w:val="en-IN"/>
              </w:rPr>
              <w:t>V</w:t>
            </w:r>
            <w:r w:rsidR="00BB291F" w:rsidRPr="008C54C9">
              <w:rPr>
                <w:rFonts w:ascii="Calibri" w:hAnsi="Calibri" w:cs="Calibri"/>
                <w:b/>
                <w:sz w:val="28"/>
                <w:szCs w:val="28"/>
                <w:lang w:val="en-IN"/>
              </w:rPr>
              <w:t xml:space="preserve"> (</w:t>
            </w:r>
            <w:r w:rsidR="007B61E7" w:rsidRPr="008C54C9">
              <w:rPr>
                <w:rFonts w:ascii="Calibri" w:hAnsi="Calibri" w:cs="Calibri"/>
                <w:b/>
                <w:sz w:val="28"/>
                <w:szCs w:val="28"/>
                <w:lang w:val="en-IN"/>
              </w:rPr>
              <w:t>January</w:t>
            </w:r>
            <w:r w:rsidR="00BB291F" w:rsidRPr="008C54C9">
              <w:rPr>
                <w:rFonts w:ascii="Calibri" w:hAnsi="Calibri" w:cs="Calibri"/>
                <w:b/>
                <w:sz w:val="28"/>
                <w:szCs w:val="28"/>
                <w:lang w:val="en-IN"/>
              </w:rPr>
              <w:t>, 202</w:t>
            </w:r>
            <w:r w:rsidR="007B61E7" w:rsidRPr="008C54C9">
              <w:rPr>
                <w:rFonts w:ascii="Calibri" w:hAnsi="Calibri" w:cs="Calibri"/>
                <w:b/>
                <w:sz w:val="28"/>
                <w:szCs w:val="28"/>
                <w:lang w:val="en-IN"/>
              </w:rPr>
              <w:t>5</w:t>
            </w:r>
            <w:r w:rsidR="00BB291F" w:rsidRPr="008C54C9">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EB1A038" w14:textId="77777777" w:rsidTr="00000F8C">
        <w:tc>
          <w:tcPr>
            <w:tcW w:w="5000" w:type="pct"/>
            <w:gridSpan w:val="2"/>
          </w:tcPr>
          <w:p w14:paraId="2C038928"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F5C5246" w14:textId="77777777" w:rsidR="00000F8C" w:rsidRDefault="00000F8C" w:rsidP="00000F8C">
      <w:pPr>
        <w:spacing w:after="0" w:line="240" w:lineRule="auto"/>
        <w:jc w:val="both"/>
        <w:rPr>
          <w:rFonts w:ascii="Calibri" w:hAnsi="Calibri" w:cs="Calibri"/>
          <w:b/>
          <w:i/>
          <w:iCs/>
          <w:sz w:val="14"/>
          <w:szCs w:val="24"/>
        </w:rPr>
      </w:pPr>
    </w:p>
    <w:p w14:paraId="33CCF74F"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59386E29"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64E6FA47"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0C1C5867"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36781C65"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38E61247"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6D58017C" w14:textId="77777777" w:rsidR="00AF7654" w:rsidRPr="00AF7654" w:rsidRDefault="00AF7654" w:rsidP="00AF7654">
      <w:pPr>
        <w:spacing w:after="0"/>
        <w:ind w:left="360"/>
        <w:jc w:val="both"/>
        <w:rPr>
          <w:rFonts w:ascii="Calibri" w:hAnsi="Calibri" w:cs="Calibri"/>
          <w:bCs/>
          <w:i/>
          <w:sz w:val="24"/>
          <w:szCs w:val="24"/>
        </w:rPr>
      </w:pPr>
    </w:p>
    <w:p w14:paraId="16059040" w14:textId="77777777" w:rsidR="00C072D6" w:rsidRPr="00C072D6" w:rsidRDefault="00C072D6" w:rsidP="00C072D6">
      <w:pPr>
        <w:autoSpaceDE w:val="0"/>
        <w:autoSpaceDN w:val="0"/>
        <w:adjustRightInd w:val="0"/>
        <w:spacing w:after="0" w:line="360" w:lineRule="auto"/>
        <w:jc w:val="center"/>
        <w:rPr>
          <w:rFonts w:ascii="Calibri" w:eastAsia="Times New Roman" w:hAnsi="Calibri" w:cs="Calibri"/>
          <w:b/>
          <w:sz w:val="24"/>
          <w:szCs w:val="24"/>
        </w:rPr>
      </w:pPr>
      <w:r w:rsidRPr="00C072D6">
        <w:rPr>
          <w:rFonts w:ascii="Calibri" w:eastAsia="Times New Roman" w:hAnsi="Calibri" w:cs="Calibri"/>
          <w:b/>
          <w:sz w:val="24"/>
          <w:szCs w:val="24"/>
        </w:rPr>
        <w:t>CASE STUDY</w:t>
      </w:r>
    </w:p>
    <w:p w14:paraId="57DB96AA" w14:textId="77777777" w:rsidR="00F41472" w:rsidRPr="00F41472" w:rsidRDefault="00F41472" w:rsidP="00F41472">
      <w:pPr>
        <w:autoSpaceDE w:val="0"/>
        <w:autoSpaceDN w:val="0"/>
        <w:adjustRightInd w:val="0"/>
        <w:spacing w:after="0" w:line="360" w:lineRule="auto"/>
        <w:jc w:val="both"/>
        <w:rPr>
          <w:rFonts w:ascii="Calibri" w:eastAsia="Times New Roman" w:hAnsi="Calibri" w:cs="Calibri"/>
          <w:bCs/>
          <w:sz w:val="24"/>
          <w:szCs w:val="24"/>
        </w:rPr>
      </w:pPr>
      <w:r w:rsidRPr="00F41472">
        <w:rPr>
          <w:rFonts w:ascii="Calibri" w:eastAsia="Times New Roman" w:hAnsi="Calibri" w:cs="Calibri"/>
          <w:bCs/>
          <w:sz w:val="24"/>
          <w:szCs w:val="24"/>
        </w:rPr>
        <w:t>XYZ Corp, a mid-sized FMCG brand specializing in organic snacks, launched an Integrated Marketing Communications (IMC) campaign to expand its market in Tier-2 cities. The campaign was well-funded and included partnerships with social media influencers, pre-roll YouTube ads, and in-store promotions. Despite these efforts, the campaign underperformed in driving customer engagement and sales in Tier-2 cities.</w:t>
      </w:r>
    </w:p>
    <w:p w14:paraId="2DE45119" w14:textId="77777777" w:rsidR="00F41472" w:rsidRPr="00F41472" w:rsidRDefault="00F41472" w:rsidP="00F41472">
      <w:pPr>
        <w:autoSpaceDE w:val="0"/>
        <w:autoSpaceDN w:val="0"/>
        <w:adjustRightInd w:val="0"/>
        <w:spacing w:after="0" w:line="360" w:lineRule="auto"/>
        <w:jc w:val="both"/>
        <w:rPr>
          <w:rFonts w:ascii="Calibri" w:eastAsia="Times New Roman" w:hAnsi="Calibri" w:cs="Calibri"/>
          <w:bCs/>
          <w:sz w:val="24"/>
          <w:szCs w:val="24"/>
        </w:rPr>
      </w:pPr>
      <w:r w:rsidRPr="00F41472">
        <w:rPr>
          <w:rFonts w:ascii="Calibri" w:eastAsia="Times New Roman" w:hAnsi="Calibri" w:cs="Calibri"/>
          <w:bCs/>
          <w:sz w:val="24"/>
          <w:szCs w:val="24"/>
        </w:rPr>
        <w:t>The campaign relied heavily on digital media, reaching 10 million followers through influencers and generating 5 million impressions on YouTube ads. However, the click-through rate (CTR) for YouTube ads was just 0.8%, while influencer engagement averaged 1.2%, both significantly below industry benchmarks. Additionally, traditional media channels such as radio and local newspapers, which collectively reach approximately 65% of the Tier-2 population, were not included in the media plan.</w:t>
      </w:r>
    </w:p>
    <w:p w14:paraId="6A90A62B" w14:textId="77777777" w:rsidR="00F41472" w:rsidRPr="00F41472" w:rsidRDefault="00F41472" w:rsidP="00F41472">
      <w:pPr>
        <w:autoSpaceDE w:val="0"/>
        <w:autoSpaceDN w:val="0"/>
        <w:adjustRightInd w:val="0"/>
        <w:spacing w:after="0" w:line="360" w:lineRule="auto"/>
        <w:jc w:val="both"/>
        <w:rPr>
          <w:rFonts w:ascii="Calibri" w:eastAsia="Times New Roman" w:hAnsi="Calibri" w:cs="Calibri"/>
          <w:bCs/>
          <w:sz w:val="24"/>
          <w:szCs w:val="24"/>
        </w:rPr>
      </w:pPr>
      <w:r w:rsidRPr="00F41472">
        <w:rPr>
          <w:rFonts w:ascii="Calibri" w:eastAsia="Times New Roman" w:hAnsi="Calibri" w:cs="Calibri"/>
          <w:bCs/>
          <w:sz w:val="24"/>
          <w:szCs w:val="24"/>
        </w:rPr>
        <w:t>The campaign’s messaging was another challenge. The slogan “Snack Smart, Live Better” was developed for urban audiences and failed to connect with Tier-2 consumers, who prefer culturally relevant and localized content. Surveys revealed that 70% of Tier-2 consumers trusted advertisements in local newspapers and radio over online ads. Furthermore, XYZ Corp did not employ the ACCA model (Awareness, Comprehension, Conviction, Action) in its campaign strategy, leading to weak customer conviction and low conversion rates.</w:t>
      </w:r>
    </w:p>
    <w:p w14:paraId="0223DA68" w14:textId="206E3E01" w:rsidR="0091524B" w:rsidRDefault="00F41472" w:rsidP="00F41472">
      <w:pPr>
        <w:autoSpaceDE w:val="0"/>
        <w:autoSpaceDN w:val="0"/>
        <w:adjustRightInd w:val="0"/>
        <w:spacing w:after="0" w:line="360" w:lineRule="auto"/>
        <w:jc w:val="both"/>
        <w:rPr>
          <w:rFonts w:ascii="Calibri" w:eastAsia="Times New Roman" w:hAnsi="Calibri" w:cs="Calibri"/>
          <w:bCs/>
          <w:sz w:val="24"/>
          <w:szCs w:val="24"/>
        </w:rPr>
      </w:pPr>
      <w:r w:rsidRPr="00F41472">
        <w:rPr>
          <w:rFonts w:ascii="Calibri" w:eastAsia="Times New Roman" w:hAnsi="Calibri" w:cs="Calibri"/>
          <w:bCs/>
          <w:sz w:val="24"/>
          <w:szCs w:val="24"/>
        </w:rPr>
        <w:t>The table below highlights the campaign's performance and missed opportunities:</w:t>
      </w:r>
      <w:r w:rsidR="00C072D6" w:rsidRPr="00C072D6">
        <w:rPr>
          <w:rFonts w:ascii="Calibri" w:eastAsia="Times New Roman" w:hAnsi="Calibri" w:cs="Calibri"/>
          <w:bCs/>
          <w:sz w:val="24"/>
          <w:szCs w:val="24"/>
        </w:rPr>
        <w:t>:</w:t>
      </w:r>
    </w:p>
    <w:tbl>
      <w:tblPr>
        <w:tblStyle w:val="TableGrid"/>
        <w:tblW w:w="0" w:type="auto"/>
        <w:tblLook w:val="04A0" w:firstRow="1" w:lastRow="0" w:firstColumn="1" w:lastColumn="0" w:noHBand="0" w:noVBand="1"/>
      </w:tblPr>
      <w:tblGrid>
        <w:gridCol w:w="1706"/>
        <w:gridCol w:w="2121"/>
        <w:gridCol w:w="2031"/>
        <w:gridCol w:w="1637"/>
        <w:gridCol w:w="1679"/>
      </w:tblGrid>
      <w:tr w:rsidR="00C072D6" w14:paraId="3B18A8E7" w14:textId="77777777" w:rsidTr="00C072D6">
        <w:tc>
          <w:tcPr>
            <w:tcW w:w="1719" w:type="dxa"/>
          </w:tcPr>
          <w:p w14:paraId="720654AA" w14:textId="03B4B9A1" w:rsidR="00C072D6" w:rsidRPr="00C072D6" w:rsidRDefault="00C072D6" w:rsidP="00C072D6">
            <w:pPr>
              <w:autoSpaceDE w:val="0"/>
              <w:autoSpaceDN w:val="0"/>
              <w:adjustRightInd w:val="0"/>
              <w:spacing w:after="0" w:line="360" w:lineRule="auto"/>
              <w:jc w:val="both"/>
              <w:rPr>
                <w:rFonts w:ascii="Calibri" w:hAnsi="Calibri" w:cs="Calibri"/>
                <w:b/>
                <w:sz w:val="24"/>
                <w:szCs w:val="24"/>
              </w:rPr>
            </w:pPr>
            <w:r w:rsidRPr="00C072D6">
              <w:rPr>
                <w:rFonts w:ascii="Calibri" w:hAnsi="Calibri" w:cs="Calibri"/>
                <w:b/>
                <w:sz w:val="24"/>
                <w:szCs w:val="24"/>
              </w:rPr>
              <w:lastRenderedPageBreak/>
              <w:t>Media Channel</w:t>
            </w:r>
          </w:p>
        </w:tc>
        <w:tc>
          <w:tcPr>
            <w:tcW w:w="2072" w:type="dxa"/>
          </w:tcPr>
          <w:p w14:paraId="77EAEAED" w14:textId="2F8A5FC1" w:rsidR="00C072D6" w:rsidRPr="00C072D6" w:rsidRDefault="00C072D6" w:rsidP="00C072D6">
            <w:pPr>
              <w:autoSpaceDE w:val="0"/>
              <w:autoSpaceDN w:val="0"/>
              <w:adjustRightInd w:val="0"/>
              <w:spacing w:after="0" w:line="360" w:lineRule="auto"/>
              <w:jc w:val="both"/>
              <w:rPr>
                <w:rFonts w:ascii="Calibri" w:hAnsi="Calibri" w:cs="Calibri"/>
                <w:b/>
                <w:sz w:val="24"/>
                <w:szCs w:val="24"/>
              </w:rPr>
            </w:pPr>
            <w:r w:rsidRPr="00C072D6">
              <w:rPr>
                <w:rFonts w:ascii="Calibri" w:hAnsi="Calibri" w:cs="Calibri"/>
                <w:b/>
                <w:sz w:val="24"/>
                <w:szCs w:val="24"/>
              </w:rPr>
              <w:t>Reach/Impressions</w:t>
            </w:r>
          </w:p>
        </w:tc>
        <w:tc>
          <w:tcPr>
            <w:tcW w:w="20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tblGrid>
            <w:tr w:rsidR="00C072D6" w:rsidRPr="00C072D6" w14:paraId="4CDD8AF4" w14:textId="77777777" w:rsidTr="00C072D6">
              <w:trPr>
                <w:tblCellSpacing w:w="15" w:type="dxa"/>
              </w:trPr>
              <w:tc>
                <w:tcPr>
                  <w:tcW w:w="0" w:type="auto"/>
                  <w:vAlign w:val="center"/>
                  <w:hideMark/>
                </w:tcPr>
                <w:p w14:paraId="1C5A3CDC" w14:textId="77777777" w:rsidR="00C072D6" w:rsidRPr="00C072D6" w:rsidRDefault="00C072D6" w:rsidP="00C072D6">
                  <w:pPr>
                    <w:autoSpaceDE w:val="0"/>
                    <w:autoSpaceDN w:val="0"/>
                    <w:adjustRightInd w:val="0"/>
                    <w:spacing w:after="0" w:line="360" w:lineRule="auto"/>
                    <w:jc w:val="both"/>
                    <w:rPr>
                      <w:rFonts w:ascii="Calibri" w:hAnsi="Calibri" w:cs="Calibri"/>
                      <w:b/>
                      <w:sz w:val="24"/>
                      <w:szCs w:val="24"/>
                      <w:lang w:val="en-IN"/>
                    </w:rPr>
                  </w:pPr>
                  <w:r w:rsidRPr="00C072D6">
                    <w:rPr>
                      <w:rFonts w:ascii="Calibri" w:hAnsi="Calibri" w:cs="Calibri"/>
                      <w:b/>
                      <w:sz w:val="24"/>
                      <w:szCs w:val="24"/>
                      <w:lang w:val="en-IN"/>
                    </w:rPr>
                    <w:t>Engagement/CTR</w:t>
                  </w:r>
                </w:p>
              </w:tc>
            </w:tr>
          </w:tbl>
          <w:p w14:paraId="6A2893F8" w14:textId="77777777" w:rsidR="00C072D6" w:rsidRPr="00C072D6" w:rsidRDefault="00C072D6" w:rsidP="00C072D6">
            <w:pPr>
              <w:autoSpaceDE w:val="0"/>
              <w:autoSpaceDN w:val="0"/>
              <w:adjustRightInd w:val="0"/>
              <w:spacing w:after="0" w:line="360" w:lineRule="auto"/>
              <w:jc w:val="both"/>
              <w:rPr>
                <w:rFonts w:ascii="Calibri" w:hAnsi="Calibri" w:cs="Calibri"/>
                <w:b/>
                <w:vanish/>
                <w:sz w:val="24"/>
                <w:szCs w:val="24"/>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72D6" w:rsidRPr="00C072D6" w14:paraId="69A80583" w14:textId="77777777" w:rsidTr="00C072D6">
              <w:trPr>
                <w:tblCellSpacing w:w="15" w:type="dxa"/>
              </w:trPr>
              <w:tc>
                <w:tcPr>
                  <w:tcW w:w="0" w:type="auto"/>
                  <w:vAlign w:val="center"/>
                  <w:hideMark/>
                </w:tcPr>
                <w:p w14:paraId="31C18F6D" w14:textId="77777777" w:rsidR="00C072D6" w:rsidRPr="00C072D6" w:rsidRDefault="00C072D6" w:rsidP="00C072D6">
                  <w:pPr>
                    <w:autoSpaceDE w:val="0"/>
                    <w:autoSpaceDN w:val="0"/>
                    <w:adjustRightInd w:val="0"/>
                    <w:spacing w:after="0" w:line="360" w:lineRule="auto"/>
                    <w:jc w:val="both"/>
                    <w:rPr>
                      <w:rFonts w:ascii="Calibri" w:hAnsi="Calibri" w:cs="Calibri"/>
                      <w:b/>
                      <w:sz w:val="24"/>
                      <w:szCs w:val="24"/>
                      <w:lang w:val="en-IN"/>
                    </w:rPr>
                  </w:pPr>
                </w:p>
              </w:tc>
            </w:tr>
          </w:tbl>
          <w:p w14:paraId="0A4378F7" w14:textId="77777777" w:rsidR="00C072D6" w:rsidRPr="00C072D6" w:rsidRDefault="00C072D6" w:rsidP="00C072D6">
            <w:pPr>
              <w:autoSpaceDE w:val="0"/>
              <w:autoSpaceDN w:val="0"/>
              <w:adjustRightInd w:val="0"/>
              <w:spacing w:after="0" w:line="360" w:lineRule="auto"/>
              <w:jc w:val="both"/>
              <w:rPr>
                <w:rFonts w:ascii="Calibri" w:hAnsi="Calibri" w:cs="Calibri"/>
                <w:b/>
                <w:sz w:val="24"/>
                <w:szCs w:val="24"/>
              </w:rPr>
            </w:pPr>
          </w:p>
        </w:tc>
        <w:tc>
          <w:tcPr>
            <w:tcW w:w="1658" w:type="dxa"/>
          </w:tcPr>
          <w:p w14:paraId="598460BD" w14:textId="7F5E4CC5" w:rsidR="00C072D6" w:rsidRPr="00C072D6" w:rsidRDefault="00C072D6" w:rsidP="00C072D6">
            <w:pPr>
              <w:autoSpaceDE w:val="0"/>
              <w:autoSpaceDN w:val="0"/>
              <w:adjustRightInd w:val="0"/>
              <w:spacing w:after="0" w:line="360" w:lineRule="auto"/>
              <w:jc w:val="both"/>
              <w:rPr>
                <w:rFonts w:ascii="Calibri" w:hAnsi="Calibri" w:cs="Calibri"/>
                <w:b/>
                <w:sz w:val="24"/>
                <w:szCs w:val="24"/>
              </w:rPr>
            </w:pPr>
            <w:r w:rsidRPr="00C072D6">
              <w:rPr>
                <w:rFonts w:ascii="Calibri" w:hAnsi="Calibri" w:cs="Calibri"/>
                <w:b/>
                <w:sz w:val="24"/>
                <w:szCs w:val="24"/>
              </w:rPr>
              <w:t>Market Trust</w:t>
            </w:r>
          </w:p>
        </w:tc>
        <w:tc>
          <w:tcPr>
            <w:tcW w:w="1694" w:type="dxa"/>
          </w:tcPr>
          <w:p w14:paraId="468017AA" w14:textId="40371622" w:rsidR="00C072D6" w:rsidRPr="00C072D6" w:rsidRDefault="00C072D6" w:rsidP="00C072D6">
            <w:pPr>
              <w:autoSpaceDE w:val="0"/>
              <w:autoSpaceDN w:val="0"/>
              <w:adjustRightInd w:val="0"/>
              <w:spacing w:after="0" w:line="360" w:lineRule="auto"/>
              <w:jc w:val="both"/>
              <w:rPr>
                <w:rFonts w:ascii="Calibri" w:hAnsi="Calibri" w:cs="Calibri"/>
                <w:b/>
                <w:sz w:val="24"/>
                <w:szCs w:val="24"/>
              </w:rPr>
            </w:pPr>
            <w:r w:rsidRPr="00C072D6">
              <w:rPr>
                <w:rFonts w:ascii="Calibri" w:hAnsi="Calibri" w:cs="Calibri"/>
                <w:b/>
                <w:sz w:val="24"/>
                <w:szCs w:val="24"/>
              </w:rPr>
              <w:t>Campaign Investment</w:t>
            </w:r>
          </w:p>
        </w:tc>
      </w:tr>
      <w:tr w:rsidR="00C072D6" w14:paraId="062FE612" w14:textId="77777777" w:rsidTr="00C072D6">
        <w:tc>
          <w:tcPr>
            <w:tcW w:w="1719" w:type="dxa"/>
          </w:tcPr>
          <w:p w14:paraId="061E18F9" w14:textId="08B35370"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Social Media Influencers</w:t>
            </w:r>
          </w:p>
        </w:tc>
        <w:tc>
          <w:tcPr>
            <w:tcW w:w="2072" w:type="dxa"/>
          </w:tcPr>
          <w:p w14:paraId="4BB0C0A7" w14:textId="4C1CA12F"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10 million</w:t>
            </w:r>
          </w:p>
        </w:tc>
        <w:tc>
          <w:tcPr>
            <w:tcW w:w="2031" w:type="dxa"/>
          </w:tcPr>
          <w:p w14:paraId="56DBA959" w14:textId="44982175" w:rsidR="00C072D6" w:rsidRPr="00C072D6" w:rsidRDefault="00C072D6" w:rsidP="00C072D6">
            <w:pPr>
              <w:autoSpaceDE w:val="0"/>
              <w:autoSpaceDN w:val="0"/>
              <w:adjustRightInd w:val="0"/>
              <w:spacing w:after="0" w:line="360" w:lineRule="auto"/>
              <w:jc w:val="both"/>
              <w:rPr>
                <w:rFonts w:ascii="Calibri" w:hAnsi="Calibri" w:cs="Calibri"/>
                <w:b/>
                <w:bCs/>
                <w:sz w:val="24"/>
                <w:szCs w:val="24"/>
                <w:lang w:val="en-IN"/>
              </w:rPr>
            </w:pPr>
            <w:r w:rsidRPr="00C072D6">
              <w:rPr>
                <w:rFonts w:ascii="Calibri" w:hAnsi="Calibri" w:cs="Calibri"/>
                <w:b/>
                <w:bCs/>
                <w:sz w:val="24"/>
                <w:szCs w:val="24"/>
                <w:lang w:val="en-IN"/>
              </w:rPr>
              <w:t>1.2% engagement</w:t>
            </w:r>
          </w:p>
        </w:tc>
        <w:tc>
          <w:tcPr>
            <w:tcW w:w="1658" w:type="dxa"/>
          </w:tcPr>
          <w:p w14:paraId="43FC9DA3" w14:textId="4692A3A1"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Moderate (50%)</w:t>
            </w:r>
          </w:p>
        </w:tc>
        <w:tc>
          <w:tcPr>
            <w:tcW w:w="1694" w:type="dxa"/>
          </w:tcPr>
          <w:p w14:paraId="4D385C0B" w14:textId="5B5A428F"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High</w:t>
            </w:r>
          </w:p>
        </w:tc>
      </w:tr>
      <w:tr w:rsidR="00C072D6" w14:paraId="0CB8F8C3" w14:textId="77777777" w:rsidTr="00C072D6">
        <w:tc>
          <w:tcPr>
            <w:tcW w:w="1719" w:type="dxa"/>
          </w:tcPr>
          <w:p w14:paraId="3F0F2453" w14:textId="06989E01"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YouTube Ads</w:t>
            </w:r>
          </w:p>
        </w:tc>
        <w:tc>
          <w:tcPr>
            <w:tcW w:w="2072" w:type="dxa"/>
          </w:tcPr>
          <w:p w14:paraId="42F16CC1" w14:textId="1DB3FD8B"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5 million</w:t>
            </w:r>
          </w:p>
        </w:tc>
        <w:tc>
          <w:tcPr>
            <w:tcW w:w="2031" w:type="dxa"/>
          </w:tcPr>
          <w:p w14:paraId="42E5F178" w14:textId="41CF4816" w:rsidR="00C072D6" w:rsidRPr="00C072D6" w:rsidRDefault="00C072D6" w:rsidP="00C072D6">
            <w:pPr>
              <w:autoSpaceDE w:val="0"/>
              <w:autoSpaceDN w:val="0"/>
              <w:adjustRightInd w:val="0"/>
              <w:spacing w:after="0" w:line="360" w:lineRule="auto"/>
              <w:jc w:val="both"/>
              <w:rPr>
                <w:rFonts w:ascii="Calibri" w:hAnsi="Calibri" w:cs="Calibri"/>
                <w:b/>
                <w:bCs/>
                <w:sz w:val="24"/>
                <w:szCs w:val="24"/>
                <w:lang w:val="en-IN"/>
              </w:rPr>
            </w:pPr>
            <w:r w:rsidRPr="00C072D6">
              <w:rPr>
                <w:rFonts w:ascii="Calibri" w:hAnsi="Calibri" w:cs="Calibri"/>
                <w:b/>
                <w:bCs/>
                <w:sz w:val="24"/>
                <w:szCs w:val="24"/>
              </w:rPr>
              <w:t>0.8% CTR</w:t>
            </w:r>
          </w:p>
        </w:tc>
        <w:tc>
          <w:tcPr>
            <w:tcW w:w="1658" w:type="dxa"/>
          </w:tcPr>
          <w:p w14:paraId="0A6D5BC5" w14:textId="708B912B"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Low (30%)</w:t>
            </w:r>
          </w:p>
        </w:tc>
        <w:tc>
          <w:tcPr>
            <w:tcW w:w="1694" w:type="dxa"/>
          </w:tcPr>
          <w:p w14:paraId="20663982" w14:textId="4E479F8F"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High</w:t>
            </w:r>
          </w:p>
        </w:tc>
      </w:tr>
      <w:tr w:rsidR="00C072D6" w14:paraId="112EA9A9" w14:textId="77777777" w:rsidTr="00C072D6">
        <w:tc>
          <w:tcPr>
            <w:tcW w:w="1719" w:type="dxa"/>
          </w:tcPr>
          <w:p w14:paraId="2C8D18E5" w14:textId="4CF3FC5A"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Local Radio</w:t>
            </w:r>
          </w:p>
        </w:tc>
        <w:tc>
          <w:tcPr>
            <w:tcW w:w="2072" w:type="dxa"/>
          </w:tcPr>
          <w:p w14:paraId="3C00C19D" w14:textId="40D98075"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12 million</w:t>
            </w:r>
          </w:p>
        </w:tc>
        <w:tc>
          <w:tcPr>
            <w:tcW w:w="2031" w:type="dxa"/>
          </w:tcPr>
          <w:p w14:paraId="04107543" w14:textId="3756C904" w:rsidR="00C072D6" w:rsidRPr="00C072D6" w:rsidRDefault="00C072D6" w:rsidP="00C072D6">
            <w:pPr>
              <w:autoSpaceDE w:val="0"/>
              <w:autoSpaceDN w:val="0"/>
              <w:adjustRightInd w:val="0"/>
              <w:spacing w:after="0" w:line="360" w:lineRule="auto"/>
              <w:jc w:val="both"/>
              <w:rPr>
                <w:rFonts w:ascii="Calibri" w:hAnsi="Calibri" w:cs="Calibri"/>
                <w:b/>
                <w:bCs/>
                <w:sz w:val="24"/>
                <w:szCs w:val="24"/>
                <w:lang w:val="en-IN"/>
              </w:rPr>
            </w:pPr>
            <w:r w:rsidRPr="00C072D6">
              <w:rPr>
                <w:rFonts w:ascii="Calibri" w:hAnsi="Calibri" w:cs="Calibri"/>
                <w:b/>
                <w:bCs/>
                <w:sz w:val="24"/>
                <w:szCs w:val="24"/>
                <w:lang w:val="en-IN"/>
              </w:rPr>
              <w:t>Not utilized</w:t>
            </w:r>
          </w:p>
        </w:tc>
        <w:tc>
          <w:tcPr>
            <w:tcW w:w="1658" w:type="dxa"/>
          </w:tcPr>
          <w:p w14:paraId="066F3AEC" w14:textId="15E1D46B"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High (72%)</w:t>
            </w:r>
          </w:p>
        </w:tc>
        <w:tc>
          <w:tcPr>
            <w:tcW w:w="1694" w:type="dxa"/>
          </w:tcPr>
          <w:p w14:paraId="74343052" w14:textId="50F0AE6A"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None</w:t>
            </w:r>
          </w:p>
        </w:tc>
      </w:tr>
      <w:tr w:rsidR="00C072D6" w14:paraId="7E87AAB8" w14:textId="77777777" w:rsidTr="00C072D6">
        <w:tc>
          <w:tcPr>
            <w:tcW w:w="1719" w:type="dxa"/>
          </w:tcPr>
          <w:p w14:paraId="792E7039" w14:textId="46FC859D"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Newspapers</w:t>
            </w:r>
          </w:p>
        </w:tc>
        <w:tc>
          <w:tcPr>
            <w:tcW w:w="2072" w:type="dxa"/>
          </w:tcPr>
          <w:p w14:paraId="05943691" w14:textId="41EC086D"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11 million</w:t>
            </w:r>
          </w:p>
        </w:tc>
        <w:tc>
          <w:tcPr>
            <w:tcW w:w="2031" w:type="dxa"/>
          </w:tcPr>
          <w:p w14:paraId="21FE15E5" w14:textId="0DCD822B" w:rsidR="00C072D6" w:rsidRPr="00C072D6" w:rsidRDefault="00C072D6" w:rsidP="00C072D6">
            <w:pPr>
              <w:autoSpaceDE w:val="0"/>
              <w:autoSpaceDN w:val="0"/>
              <w:adjustRightInd w:val="0"/>
              <w:spacing w:after="0" w:line="360" w:lineRule="auto"/>
              <w:jc w:val="both"/>
              <w:rPr>
                <w:rFonts w:ascii="Calibri" w:hAnsi="Calibri" w:cs="Calibri"/>
                <w:b/>
                <w:bCs/>
                <w:sz w:val="24"/>
                <w:szCs w:val="24"/>
                <w:lang w:val="en-IN"/>
              </w:rPr>
            </w:pPr>
            <w:r w:rsidRPr="00C072D6">
              <w:rPr>
                <w:rFonts w:ascii="Calibri" w:hAnsi="Calibri" w:cs="Calibri"/>
                <w:b/>
                <w:bCs/>
                <w:sz w:val="24"/>
                <w:szCs w:val="24"/>
                <w:lang w:val="en-IN"/>
              </w:rPr>
              <w:t>Not utilized</w:t>
            </w:r>
          </w:p>
        </w:tc>
        <w:tc>
          <w:tcPr>
            <w:tcW w:w="1658" w:type="dxa"/>
          </w:tcPr>
          <w:p w14:paraId="2B9AB507" w14:textId="18816133"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High (70%)</w:t>
            </w:r>
          </w:p>
        </w:tc>
        <w:tc>
          <w:tcPr>
            <w:tcW w:w="1694" w:type="dxa"/>
          </w:tcPr>
          <w:p w14:paraId="691FA847" w14:textId="6A0B16B2" w:rsidR="00C072D6" w:rsidRP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None</w:t>
            </w:r>
          </w:p>
        </w:tc>
      </w:tr>
    </w:tbl>
    <w:p w14:paraId="6EF93FB6" w14:textId="51FDDAD7" w:rsidR="00C072D6" w:rsidRDefault="00C072D6" w:rsidP="00C072D6">
      <w:pPr>
        <w:autoSpaceDE w:val="0"/>
        <w:autoSpaceDN w:val="0"/>
        <w:adjustRightInd w:val="0"/>
        <w:spacing w:after="0" w:line="360" w:lineRule="auto"/>
        <w:jc w:val="both"/>
        <w:rPr>
          <w:rFonts w:ascii="Calibri" w:hAnsi="Calibri" w:cs="Calibri"/>
          <w:bCs/>
          <w:sz w:val="24"/>
          <w:szCs w:val="24"/>
        </w:rPr>
      </w:pPr>
      <w:r w:rsidRPr="00C072D6">
        <w:rPr>
          <w:rFonts w:ascii="Calibri" w:hAnsi="Calibri" w:cs="Calibri"/>
          <w:bCs/>
          <w:sz w:val="24"/>
          <w:szCs w:val="24"/>
        </w:rPr>
        <w:t>In conclusion, the campaign suffered from a lack of localized relevance, underutilization of traditional media, and an over-reliance on digital platforms that failed to engage the intended audience.</w:t>
      </w:r>
    </w:p>
    <w:p w14:paraId="731712FB" w14:textId="77777777" w:rsidR="00F41472" w:rsidRDefault="00F41472" w:rsidP="00C072D6">
      <w:pPr>
        <w:autoSpaceDE w:val="0"/>
        <w:autoSpaceDN w:val="0"/>
        <w:adjustRightInd w:val="0"/>
        <w:spacing w:after="0" w:line="360" w:lineRule="auto"/>
        <w:jc w:val="both"/>
        <w:rPr>
          <w:rFonts w:ascii="Calibri" w:hAnsi="Calibri" w:cs="Calibri"/>
          <w:b/>
          <w:sz w:val="24"/>
          <w:szCs w:val="24"/>
        </w:rPr>
      </w:pPr>
    </w:p>
    <w:p w14:paraId="75E66FCE" w14:textId="574026C9" w:rsidR="00F41472" w:rsidRDefault="00F41472" w:rsidP="00C072D6">
      <w:pPr>
        <w:autoSpaceDE w:val="0"/>
        <w:autoSpaceDN w:val="0"/>
        <w:adjustRightInd w:val="0"/>
        <w:spacing w:after="0" w:line="360" w:lineRule="auto"/>
        <w:jc w:val="both"/>
        <w:rPr>
          <w:rFonts w:ascii="Calibri" w:hAnsi="Calibri" w:cs="Calibri"/>
          <w:b/>
          <w:sz w:val="24"/>
          <w:szCs w:val="24"/>
        </w:rPr>
      </w:pPr>
      <w:r w:rsidRPr="00F41472">
        <w:rPr>
          <w:rFonts w:ascii="Calibri" w:hAnsi="Calibri" w:cs="Calibri"/>
          <w:b/>
          <w:sz w:val="24"/>
          <w:szCs w:val="24"/>
        </w:rPr>
        <w:t>Questions</w:t>
      </w:r>
      <w:r>
        <w:rPr>
          <w:rFonts w:ascii="Calibri" w:hAnsi="Calibri" w:cs="Calibri"/>
          <w:b/>
          <w:sz w:val="24"/>
          <w:szCs w:val="24"/>
        </w:rPr>
        <w:t>:</w:t>
      </w:r>
    </w:p>
    <w:p w14:paraId="13F4215A" w14:textId="694E9B92" w:rsidR="00F41472" w:rsidRPr="00F46764" w:rsidRDefault="00F46764" w:rsidP="00F46764">
      <w:pPr>
        <w:pStyle w:val="ListParagraph"/>
        <w:numPr>
          <w:ilvl w:val="0"/>
          <w:numId w:val="6"/>
        </w:numPr>
        <w:autoSpaceDE w:val="0"/>
        <w:autoSpaceDN w:val="0"/>
        <w:adjustRightInd w:val="0"/>
        <w:spacing w:after="0" w:line="360" w:lineRule="auto"/>
        <w:jc w:val="both"/>
        <w:rPr>
          <w:rFonts w:ascii="Calibri" w:hAnsi="Calibri" w:cs="Calibri"/>
          <w:bCs/>
          <w:sz w:val="24"/>
          <w:szCs w:val="24"/>
        </w:rPr>
      </w:pPr>
      <w:r w:rsidRPr="00F46764">
        <w:rPr>
          <w:rFonts w:ascii="Calibri" w:hAnsi="Calibri" w:cs="Calibri"/>
          <w:bCs/>
          <w:sz w:val="24"/>
          <w:szCs w:val="24"/>
        </w:rPr>
        <w:t>Classify the steps in the IMC planning process that XYZ Corp could adopt to ensure a better understanding of Tier-2 market preferences. Discuss how these steps can lead to more effective campaign design.</w:t>
      </w:r>
      <w:r w:rsidR="003A6CBA" w:rsidRPr="003A6CBA">
        <w:rPr>
          <w:rFonts w:ascii="Calibri" w:hAnsi="Calibri" w:cs="Calibri"/>
          <w:bCs/>
          <w:i/>
          <w:iCs/>
          <w:sz w:val="24"/>
          <w:szCs w:val="24"/>
        </w:rPr>
        <w:t xml:space="preserve"> </w:t>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t xml:space="preserve">   </w:t>
      </w:r>
      <w:r w:rsidR="003A6CBA" w:rsidRPr="008C54C9">
        <w:rPr>
          <w:rFonts w:ascii="Calibri" w:hAnsi="Calibri" w:cs="Calibri"/>
          <w:b/>
          <w:i/>
          <w:iCs/>
          <w:sz w:val="24"/>
          <w:szCs w:val="24"/>
        </w:rPr>
        <w:t>(10 Marks)</w:t>
      </w:r>
    </w:p>
    <w:p w14:paraId="002378C3" w14:textId="477AA8E7" w:rsidR="00F46764" w:rsidRDefault="00F46764" w:rsidP="00F46764">
      <w:pPr>
        <w:pStyle w:val="ListParagraph"/>
        <w:numPr>
          <w:ilvl w:val="0"/>
          <w:numId w:val="6"/>
        </w:numPr>
        <w:autoSpaceDE w:val="0"/>
        <w:autoSpaceDN w:val="0"/>
        <w:adjustRightInd w:val="0"/>
        <w:spacing w:after="0" w:line="360" w:lineRule="auto"/>
        <w:jc w:val="both"/>
        <w:rPr>
          <w:rFonts w:ascii="Calibri" w:hAnsi="Calibri" w:cs="Calibri"/>
          <w:bCs/>
          <w:sz w:val="24"/>
          <w:szCs w:val="24"/>
        </w:rPr>
      </w:pPr>
      <w:r w:rsidRPr="00A34102">
        <w:rPr>
          <w:rFonts w:ascii="Calibri" w:hAnsi="Calibri" w:cs="Calibri"/>
          <w:sz w:val="24"/>
          <w:szCs w:val="24"/>
        </w:rPr>
        <w:t>Inspect</w:t>
      </w:r>
      <w:r w:rsidRPr="00F46764">
        <w:rPr>
          <w:rFonts w:ascii="Calibri" w:hAnsi="Calibri" w:cs="Calibri"/>
          <w:bCs/>
          <w:sz w:val="24"/>
          <w:szCs w:val="24"/>
        </w:rPr>
        <w:t xml:space="preserve"> XYZ Corp’s media strategy and evaluate its gaps in media selection and allocation. Based on the data provided, propose a revised media strategy that balances digital and traditional </w:t>
      </w:r>
      <w:r w:rsidR="003A6CBA" w:rsidRPr="00F46764">
        <w:rPr>
          <w:rFonts w:ascii="Calibri" w:hAnsi="Calibri" w:cs="Calibri"/>
          <w:bCs/>
          <w:sz w:val="24"/>
          <w:szCs w:val="24"/>
        </w:rPr>
        <w:t>channels</w:t>
      </w:r>
      <w:r w:rsidR="003A6CBA">
        <w:rPr>
          <w:rFonts w:ascii="Calibri" w:hAnsi="Calibri" w:cs="Calibri"/>
          <w:bCs/>
          <w:sz w:val="24"/>
          <w:szCs w:val="24"/>
        </w:rPr>
        <w:t>.</w:t>
      </w:r>
      <w:r w:rsidR="003A6CBA" w:rsidRPr="0035304D">
        <w:rPr>
          <w:rFonts w:ascii="Calibri" w:hAnsi="Calibri" w:cs="Calibri"/>
          <w:bCs/>
          <w:i/>
          <w:iCs/>
          <w:sz w:val="24"/>
          <w:szCs w:val="24"/>
        </w:rPr>
        <w:t xml:space="preserve"> </w:t>
      </w:r>
      <w:r w:rsidR="008C54C9">
        <w:rPr>
          <w:rFonts w:ascii="Calibri" w:hAnsi="Calibri" w:cs="Calibri"/>
          <w:bCs/>
          <w:i/>
          <w:iCs/>
          <w:sz w:val="24"/>
          <w:szCs w:val="24"/>
        </w:rPr>
        <w:t xml:space="preserve"> </w:t>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t xml:space="preserve">                </w:t>
      </w:r>
      <w:r w:rsidR="003A6CBA" w:rsidRPr="008C54C9">
        <w:rPr>
          <w:rFonts w:ascii="Calibri" w:hAnsi="Calibri" w:cs="Calibri"/>
          <w:b/>
          <w:i/>
          <w:iCs/>
          <w:sz w:val="24"/>
          <w:szCs w:val="24"/>
        </w:rPr>
        <w:t>(10 Marks)</w:t>
      </w:r>
    </w:p>
    <w:p w14:paraId="6F19F6CF" w14:textId="3F6BBC8F" w:rsidR="00A34102" w:rsidRDefault="00A34102" w:rsidP="00F46764">
      <w:pPr>
        <w:pStyle w:val="ListParagraph"/>
        <w:numPr>
          <w:ilvl w:val="0"/>
          <w:numId w:val="6"/>
        </w:numPr>
        <w:autoSpaceDE w:val="0"/>
        <w:autoSpaceDN w:val="0"/>
        <w:adjustRightInd w:val="0"/>
        <w:spacing w:after="0" w:line="360" w:lineRule="auto"/>
        <w:jc w:val="both"/>
        <w:rPr>
          <w:rFonts w:ascii="Calibri" w:hAnsi="Calibri" w:cs="Calibri"/>
          <w:bCs/>
          <w:sz w:val="24"/>
          <w:szCs w:val="24"/>
        </w:rPr>
      </w:pPr>
      <w:r w:rsidRPr="00A34102">
        <w:rPr>
          <w:rFonts w:ascii="Calibri" w:hAnsi="Calibri" w:cs="Calibri"/>
          <w:sz w:val="24"/>
          <w:szCs w:val="24"/>
        </w:rPr>
        <w:t xml:space="preserve">Examine </w:t>
      </w:r>
      <w:r w:rsidRPr="00A34102">
        <w:rPr>
          <w:rFonts w:ascii="Calibri" w:hAnsi="Calibri" w:cs="Calibri"/>
          <w:bCs/>
          <w:sz w:val="24"/>
          <w:szCs w:val="24"/>
        </w:rPr>
        <w:t>the role of the ACCA model in bridging the gap between customer engagement and conversion. How can XYZ Corp incorporate this model into its future IMC strategies to improve overall campaign effectiveness?</w:t>
      </w:r>
      <w:r w:rsidR="003A6CBA" w:rsidRPr="003A6CBA">
        <w:rPr>
          <w:rFonts w:ascii="Calibri" w:hAnsi="Calibri" w:cs="Calibri"/>
          <w:bCs/>
          <w:i/>
          <w:iCs/>
          <w:sz w:val="24"/>
          <w:szCs w:val="24"/>
        </w:rPr>
        <w:t xml:space="preserve"> </w:t>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r>
      <w:r w:rsidR="008C54C9">
        <w:rPr>
          <w:rFonts w:ascii="Calibri" w:hAnsi="Calibri" w:cs="Calibri"/>
          <w:bCs/>
          <w:i/>
          <w:iCs/>
          <w:sz w:val="24"/>
          <w:szCs w:val="24"/>
        </w:rPr>
        <w:tab/>
        <w:t xml:space="preserve">   </w:t>
      </w:r>
      <w:r w:rsidR="003A6CBA" w:rsidRPr="008C54C9">
        <w:rPr>
          <w:rFonts w:ascii="Calibri" w:hAnsi="Calibri" w:cs="Calibri"/>
          <w:b/>
          <w:i/>
          <w:iCs/>
          <w:sz w:val="24"/>
          <w:szCs w:val="24"/>
        </w:rPr>
        <w:t>(10 Marks)</w:t>
      </w:r>
    </w:p>
    <w:p w14:paraId="20C747A2" w14:textId="77777777" w:rsidR="0035304D" w:rsidRDefault="0035304D" w:rsidP="0035304D">
      <w:pPr>
        <w:autoSpaceDE w:val="0"/>
        <w:autoSpaceDN w:val="0"/>
        <w:adjustRightInd w:val="0"/>
        <w:spacing w:after="0" w:line="360" w:lineRule="auto"/>
        <w:jc w:val="both"/>
        <w:rPr>
          <w:rFonts w:ascii="Calibri" w:hAnsi="Calibri" w:cs="Calibri"/>
          <w:bCs/>
          <w:sz w:val="24"/>
          <w:szCs w:val="24"/>
        </w:rPr>
      </w:pPr>
    </w:p>
    <w:p w14:paraId="54DD5323" w14:textId="3A39DAC8" w:rsidR="0035304D" w:rsidRPr="0035304D" w:rsidRDefault="0035304D" w:rsidP="0035304D">
      <w:pPr>
        <w:autoSpaceDE w:val="0"/>
        <w:autoSpaceDN w:val="0"/>
        <w:adjustRightInd w:val="0"/>
        <w:spacing w:after="0" w:line="360" w:lineRule="auto"/>
        <w:jc w:val="both"/>
        <w:rPr>
          <w:rFonts w:ascii="Calibri" w:hAnsi="Calibri" w:cs="Calibri"/>
          <w:bCs/>
          <w:sz w:val="24"/>
          <w:szCs w:val="24"/>
        </w:rPr>
      </w:pPr>
      <w:r w:rsidRPr="005E46E8">
        <w:rPr>
          <w:rFonts w:ascii="Calibri" w:hAnsi="Calibri" w:cs="Calibri"/>
          <w:b/>
          <w:sz w:val="24"/>
          <w:szCs w:val="24"/>
        </w:rPr>
        <w:t>2.</w:t>
      </w:r>
      <w:r w:rsidRPr="0035304D">
        <w:t xml:space="preserve"> </w:t>
      </w:r>
      <w:r w:rsidR="00AD0094" w:rsidRPr="00AD0094">
        <w:rPr>
          <w:rFonts w:ascii="Calibri" w:hAnsi="Calibri" w:cs="Calibri"/>
          <w:bCs/>
          <w:sz w:val="24"/>
          <w:szCs w:val="24"/>
        </w:rPr>
        <w:t xml:space="preserve">​As the marketing manager for Skechers, categorize the potential customer touchpoints that could effectively communicate the benefits of the diabetic-friendly shoe range. Explain how each touchpoint aligns with the stages of the Response Hierarchy Model. Additionally, propose specific actions for each touchpoint to move potential customers through the hierarchy and drive conversions. </w:t>
      </w:r>
      <w:r w:rsidR="008C54C9">
        <w:rPr>
          <w:rFonts w:ascii="Calibri" w:hAnsi="Calibri" w:cs="Calibri"/>
          <w:bCs/>
          <w:sz w:val="24"/>
          <w:szCs w:val="24"/>
        </w:rPr>
        <w:tab/>
      </w:r>
      <w:r w:rsidR="008C54C9">
        <w:rPr>
          <w:rFonts w:ascii="Calibri" w:hAnsi="Calibri" w:cs="Calibri"/>
          <w:bCs/>
          <w:sz w:val="24"/>
          <w:szCs w:val="24"/>
        </w:rPr>
        <w:tab/>
      </w:r>
      <w:r w:rsidR="008C54C9">
        <w:rPr>
          <w:rFonts w:ascii="Calibri" w:hAnsi="Calibri" w:cs="Calibri"/>
          <w:bCs/>
          <w:sz w:val="24"/>
          <w:szCs w:val="24"/>
        </w:rPr>
        <w:tab/>
      </w:r>
      <w:r w:rsidR="008C54C9">
        <w:rPr>
          <w:rFonts w:ascii="Calibri" w:hAnsi="Calibri" w:cs="Calibri"/>
          <w:bCs/>
          <w:sz w:val="24"/>
          <w:szCs w:val="24"/>
        </w:rPr>
        <w:tab/>
      </w:r>
      <w:r w:rsidR="008C54C9">
        <w:rPr>
          <w:rFonts w:ascii="Calibri" w:hAnsi="Calibri" w:cs="Calibri"/>
          <w:bCs/>
          <w:sz w:val="24"/>
          <w:szCs w:val="24"/>
        </w:rPr>
        <w:tab/>
      </w:r>
      <w:r w:rsidR="008C54C9">
        <w:rPr>
          <w:rFonts w:ascii="Calibri" w:hAnsi="Calibri" w:cs="Calibri"/>
          <w:bCs/>
          <w:sz w:val="24"/>
          <w:szCs w:val="24"/>
        </w:rPr>
        <w:tab/>
      </w:r>
      <w:r w:rsidR="008C54C9">
        <w:rPr>
          <w:rFonts w:ascii="Calibri" w:hAnsi="Calibri" w:cs="Calibri"/>
          <w:bCs/>
          <w:sz w:val="24"/>
          <w:szCs w:val="24"/>
        </w:rPr>
        <w:tab/>
      </w:r>
      <w:r w:rsidR="008C54C9">
        <w:rPr>
          <w:rFonts w:ascii="Calibri" w:hAnsi="Calibri" w:cs="Calibri"/>
          <w:bCs/>
          <w:sz w:val="24"/>
          <w:szCs w:val="24"/>
        </w:rPr>
        <w:tab/>
      </w:r>
      <w:r w:rsidR="008C54C9">
        <w:rPr>
          <w:rFonts w:ascii="Calibri" w:hAnsi="Calibri" w:cs="Calibri"/>
          <w:bCs/>
          <w:sz w:val="24"/>
          <w:szCs w:val="24"/>
        </w:rPr>
        <w:tab/>
        <w:t xml:space="preserve">   </w:t>
      </w:r>
      <w:r w:rsidRPr="008C54C9">
        <w:rPr>
          <w:rFonts w:ascii="Calibri" w:hAnsi="Calibri" w:cs="Calibri"/>
          <w:b/>
          <w:i/>
          <w:iCs/>
          <w:sz w:val="24"/>
          <w:szCs w:val="24"/>
        </w:rPr>
        <w:t>(10 Marks)</w:t>
      </w:r>
    </w:p>
    <w:p w14:paraId="347E6800" w14:textId="77777777" w:rsidR="00000F8C" w:rsidRDefault="00000F8C" w:rsidP="00E61C02">
      <w:pPr>
        <w:autoSpaceDE w:val="0"/>
        <w:autoSpaceDN w:val="0"/>
        <w:adjustRightInd w:val="0"/>
        <w:spacing w:after="0" w:line="360" w:lineRule="auto"/>
        <w:rPr>
          <w:rFonts w:ascii="Calibri" w:hAnsi="Calibri" w:cs="Calibri"/>
          <w:sz w:val="24"/>
          <w:szCs w:val="24"/>
        </w:rPr>
      </w:pPr>
    </w:p>
    <w:p w14:paraId="15F8D62A" w14:textId="77777777" w:rsidR="00050E8E" w:rsidRDefault="00050E8E" w:rsidP="00050E8E">
      <w:pPr>
        <w:autoSpaceDE w:val="0"/>
        <w:autoSpaceDN w:val="0"/>
        <w:adjustRightInd w:val="0"/>
        <w:spacing w:after="0" w:line="360" w:lineRule="auto"/>
        <w:rPr>
          <w:rFonts w:ascii="Calibri" w:hAnsi="Calibri" w:cs="Calibri"/>
          <w:sz w:val="24"/>
          <w:szCs w:val="24"/>
        </w:rPr>
      </w:pPr>
    </w:p>
    <w:p w14:paraId="063CCA60" w14:textId="77777777" w:rsidR="00050E8E" w:rsidRPr="00050E8E" w:rsidRDefault="00050E8E" w:rsidP="00050E8E">
      <w:pPr>
        <w:autoSpaceDE w:val="0"/>
        <w:autoSpaceDN w:val="0"/>
        <w:adjustRightInd w:val="0"/>
        <w:spacing w:after="0" w:line="360" w:lineRule="auto"/>
        <w:rPr>
          <w:rFonts w:ascii="Calibri" w:hAnsi="Calibri" w:cs="Calibri"/>
          <w:sz w:val="24"/>
          <w:szCs w:val="24"/>
        </w:rPr>
      </w:pPr>
    </w:p>
    <w:p w14:paraId="652C726E" w14:textId="77777777" w:rsidR="00956BDE" w:rsidRDefault="00956BDE"/>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539E" w14:textId="77777777" w:rsidR="00393485" w:rsidRDefault="00393485" w:rsidP="00565F93">
      <w:pPr>
        <w:spacing w:after="0" w:line="240" w:lineRule="auto"/>
      </w:pPr>
      <w:r>
        <w:separator/>
      </w:r>
    </w:p>
  </w:endnote>
  <w:endnote w:type="continuationSeparator" w:id="0">
    <w:p w14:paraId="3682C96F" w14:textId="77777777" w:rsidR="00393485" w:rsidRDefault="00393485"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529F0D6"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0508EFE7"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567" w14:textId="77777777" w:rsidR="00393485" w:rsidRDefault="00393485" w:rsidP="00565F93">
      <w:pPr>
        <w:spacing w:after="0" w:line="240" w:lineRule="auto"/>
      </w:pPr>
      <w:r>
        <w:separator/>
      </w:r>
    </w:p>
  </w:footnote>
  <w:footnote w:type="continuationSeparator" w:id="0">
    <w:p w14:paraId="49D12DC9" w14:textId="77777777" w:rsidR="00393485" w:rsidRDefault="00393485"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CE437" w14:textId="77777777" w:rsidR="00BB291F" w:rsidRDefault="00BB291F" w:rsidP="00BB291F">
    <w:pPr>
      <w:pStyle w:val="Header"/>
    </w:pPr>
    <w:r>
      <w:t xml:space="preserve">                                                                                                                                                 </w:t>
    </w:r>
  </w:p>
  <w:p w14:paraId="02ABE0CF"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356A0"/>
    <w:multiLevelType w:val="hybridMultilevel"/>
    <w:tmpl w:val="A1DC1B3C"/>
    <w:lvl w:ilvl="0" w:tplc="14880E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57836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810012">
    <w:abstractNumId w:val="0"/>
  </w:num>
  <w:num w:numId="3" w16cid:durableId="1569419267">
    <w:abstractNumId w:val="3"/>
  </w:num>
  <w:num w:numId="4" w16cid:durableId="1692949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88015">
    <w:abstractNumId w:val="4"/>
  </w:num>
  <w:num w:numId="6" w16cid:durableId="1622035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67649"/>
    <w:rsid w:val="000C6F0D"/>
    <w:rsid w:val="000E546F"/>
    <w:rsid w:val="000E79D8"/>
    <w:rsid w:val="001112C3"/>
    <w:rsid w:val="001233BE"/>
    <w:rsid w:val="00147366"/>
    <w:rsid w:val="001607CB"/>
    <w:rsid w:val="00163FF7"/>
    <w:rsid w:val="00164DA2"/>
    <w:rsid w:val="001E2EBC"/>
    <w:rsid w:val="00255763"/>
    <w:rsid w:val="00256908"/>
    <w:rsid w:val="00286635"/>
    <w:rsid w:val="002969DB"/>
    <w:rsid w:val="0032352C"/>
    <w:rsid w:val="0035304D"/>
    <w:rsid w:val="0035360D"/>
    <w:rsid w:val="003633A5"/>
    <w:rsid w:val="00393485"/>
    <w:rsid w:val="00394D92"/>
    <w:rsid w:val="003A6CBA"/>
    <w:rsid w:val="003D5570"/>
    <w:rsid w:val="004031BE"/>
    <w:rsid w:val="004058EE"/>
    <w:rsid w:val="004302C0"/>
    <w:rsid w:val="00463CD5"/>
    <w:rsid w:val="00470A63"/>
    <w:rsid w:val="004817D9"/>
    <w:rsid w:val="004B7807"/>
    <w:rsid w:val="005544AB"/>
    <w:rsid w:val="00565F93"/>
    <w:rsid w:val="005E46E8"/>
    <w:rsid w:val="0062780B"/>
    <w:rsid w:val="0070146B"/>
    <w:rsid w:val="007B61E7"/>
    <w:rsid w:val="007C35A6"/>
    <w:rsid w:val="00800A6E"/>
    <w:rsid w:val="00895696"/>
    <w:rsid w:val="008C54C9"/>
    <w:rsid w:val="008E31D1"/>
    <w:rsid w:val="009012A2"/>
    <w:rsid w:val="00903A58"/>
    <w:rsid w:val="0091524B"/>
    <w:rsid w:val="00921E9B"/>
    <w:rsid w:val="009231A7"/>
    <w:rsid w:val="00923DCD"/>
    <w:rsid w:val="00956BDE"/>
    <w:rsid w:val="00956E30"/>
    <w:rsid w:val="009B048D"/>
    <w:rsid w:val="009E38F9"/>
    <w:rsid w:val="009F5BC0"/>
    <w:rsid w:val="00A10C3F"/>
    <w:rsid w:val="00A34102"/>
    <w:rsid w:val="00A964EE"/>
    <w:rsid w:val="00AA0EE8"/>
    <w:rsid w:val="00AD0094"/>
    <w:rsid w:val="00AF7654"/>
    <w:rsid w:val="00B44A19"/>
    <w:rsid w:val="00B54346"/>
    <w:rsid w:val="00B71AD9"/>
    <w:rsid w:val="00B76407"/>
    <w:rsid w:val="00BA77E9"/>
    <w:rsid w:val="00BB291F"/>
    <w:rsid w:val="00C072D6"/>
    <w:rsid w:val="00C12170"/>
    <w:rsid w:val="00C52051"/>
    <w:rsid w:val="00D3740B"/>
    <w:rsid w:val="00D63CBF"/>
    <w:rsid w:val="00DD234B"/>
    <w:rsid w:val="00E0384F"/>
    <w:rsid w:val="00E16D71"/>
    <w:rsid w:val="00E5415F"/>
    <w:rsid w:val="00E61C02"/>
    <w:rsid w:val="00F41472"/>
    <w:rsid w:val="00F46764"/>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24E39"/>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3766868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83</cp:revision>
  <dcterms:created xsi:type="dcterms:W3CDTF">2022-10-18T07:56:00Z</dcterms:created>
  <dcterms:modified xsi:type="dcterms:W3CDTF">2025-01-06T05:33:00Z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