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646"/>
        <w:gridCol w:w="6528"/>
      </w:tblGrid>
      <w:tr w:rsidR="00921E9B" w:rsidRPr="00921E9B" w14:paraId="63652584" w14:textId="77777777" w:rsidTr="00000F8C">
        <w:trPr>
          <w:trHeight w:val="827"/>
        </w:trPr>
        <w:tc>
          <w:tcPr>
            <w:tcW w:w="1441" w:type="pct"/>
          </w:tcPr>
          <w:p w14:paraId="5DAB1386" w14:textId="77777777" w:rsidR="00BB291F" w:rsidRPr="00921E9B" w:rsidRDefault="00BB291F" w:rsidP="00FD3CB3">
            <w:pPr>
              <w:spacing w:after="0" w:line="240" w:lineRule="auto"/>
              <w:rPr>
                <w:rFonts w:ascii="Calibri" w:hAnsi="Calibri" w:cs="Calibri"/>
                <w:i/>
                <w:szCs w:val="24"/>
                <w:lang w:val="en-IN"/>
              </w:rPr>
            </w:pPr>
            <w:r w:rsidRPr="00921E9B">
              <w:rPr>
                <w:rFonts w:ascii="Calibri" w:hAnsi="Calibri" w:cs="Calibri"/>
                <w:b/>
                <w:noProof/>
                <w:sz w:val="32"/>
                <w:szCs w:val="24"/>
                <w:lang w:val="en-IN" w:eastAsia="en-IN"/>
              </w:rPr>
              <w:drawing>
                <wp:inline distT="0" distB="0" distL="0" distR="0" wp14:anchorId="4BF8DFD3" wp14:editId="25AF73A0">
                  <wp:extent cx="1533525" cy="504825"/>
                  <wp:effectExtent l="0" t="0" r="9525" b="9525"/>
                  <wp:docPr id="1" name="Picture 1" descr="C:\Users\ADMIN\Desktop\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9" w:type="pct"/>
          </w:tcPr>
          <w:p w14:paraId="0718F644" w14:textId="77777777" w:rsidR="00BB291F" w:rsidRPr="00FD3CB3" w:rsidRDefault="00BB291F" w:rsidP="00FD3CB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32"/>
                <w:szCs w:val="24"/>
                <w:lang w:val="en-IN"/>
              </w:rPr>
            </w:pPr>
            <w:r w:rsidRPr="00FD3CB3">
              <w:rPr>
                <w:rFonts w:ascii="Calibri" w:hAnsi="Calibri" w:cs="Calibri"/>
                <w:b/>
                <w:sz w:val="32"/>
                <w:szCs w:val="24"/>
                <w:lang w:val="en-IN"/>
              </w:rPr>
              <w:t>JAIPURIA INSTITUE OF MANAGEMENT, INDORE</w:t>
            </w:r>
          </w:p>
          <w:p w14:paraId="63AC4879" w14:textId="21B98E58" w:rsidR="00BB291F" w:rsidRPr="00FD3CB3" w:rsidRDefault="00BB291F" w:rsidP="00FD3CB3">
            <w:pPr>
              <w:spacing w:after="0" w:line="240" w:lineRule="auto"/>
              <w:jc w:val="center"/>
              <w:rPr>
                <w:rFonts w:ascii="Calibri" w:hAnsi="Calibri" w:cs="Calibri"/>
                <w:i/>
                <w:sz w:val="27"/>
                <w:szCs w:val="27"/>
                <w:lang w:val="en-IN"/>
              </w:rPr>
            </w:pPr>
            <w:r w:rsidRPr="00FD3CB3">
              <w:rPr>
                <w:rFonts w:ascii="Calibri" w:hAnsi="Calibri" w:cs="Calibri"/>
                <w:sz w:val="27"/>
                <w:szCs w:val="27"/>
                <w:lang w:val="en-IN"/>
              </w:rPr>
              <w:t>Post Graduate Diploma in Management</w:t>
            </w:r>
            <w:r w:rsidR="00BD34FB" w:rsidRPr="00FD3CB3">
              <w:rPr>
                <w:rFonts w:ascii="Calibri" w:hAnsi="Calibri" w:cs="Calibri"/>
                <w:sz w:val="27"/>
                <w:szCs w:val="27"/>
                <w:lang w:val="en-IN"/>
              </w:rPr>
              <w:t xml:space="preserve"> (Batch 2024-26)</w:t>
            </w:r>
          </w:p>
        </w:tc>
      </w:tr>
      <w:tr w:rsidR="00921E9B" w:rsidRPr="00921E9B" w14:paraId="281D8340" w14:textId="77777777" w:rsidTr="00000F8C">
        <w:trPr>
          <w:trHeight w:val="755"/>
        </w:trPr>
        <w:tc>
          <w:tcPr>
            <w:tcW w:w="5000" w:type="pct"/>
            <w:gridSpan w:val="2"/>
          </w:tcPr>
          <w:p w14:paraId="3A5D37CF" w14:textId="68EB4782" w:rsidR="003D5570" w:rsidRPr="00921E9B" w:rsidRDefault="003D5570" w:rsidP="00FD3CB3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val="en-IN"/>
              </w:rPr>
            </w:pPr>
            <w:r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Cours</w:t>
            </w:r>
            <w:r w:rsidR="009231A7"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 xml:space="preserve">e Title: </w:t>
            </w:r>
            <w:r w:rsidR="00FD3CB3">
              <w:rPr>
                <w:rFonts w:ascii="Calibri" w:hAnsi="Calibri" w:cs="Calibri"/>
                <w:b/>
                <w:color w:val="000000" w:themeColor="text1"/>
                <w:sz w:val="28"/>
                <w:szCs w:val="28"/>
                <w:lang w:val="en-IN"/>
              </w:rPr>
              <w:t>Distribution Channel Management</w:t>
            </w:r>
            <w:r w:rsidR="009231A7"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 xml:space="preserve">, </w:t>
            </w:r>
            <w:r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 xml:space="preserve">(Course Code: </w:t>
            </w:r>
            <w:r w:rsidR="00F60963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4</w:t>
            </w:r>
            <w:r w:rsidR="00FD3CB3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0122</w:t>
            </w:r>
            <w:r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)</w:t>
            </w:r>
          </w:p>
          <w:p w14:paraId="2532C788" w14:textId="6CD86EF0" w:rsidR="00BB291F" w:rsidRPr="009F5BC0" w:rsidRDefault="000E546F" w:rsidP="00FD3CB3">
            <w:pPr>
              <w:tabs>
                <w:tab w:val="left" w:pos="90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8"/>
                <w:szCs w:val="28"/>
                <w:lang w:val="en-IN"/>
              </w:rPr>
            </w:pPr>
            <w:r>
              <w:rPr>
                <w:rFonts w:ascii="Calibri" w:hAnsi="Calibri" w:cs="Calibri"/>
                <w:b/>
                <w:sz w:val="28"/>
                <w:szCs w:val="28"/>
                <w:lang w:val="en-IN"/>
              </w:rPr>
              <w:t xml:space="preserve">End-Term Examination, </w:t>
            </w:r>
            <w:r w:rsidRPr="00FD3CB3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 xml:space="preserve">Term - </w:t>
            </w:r>
            <w:r w:rsidR="001233BE" w:rsidRPr="00FD3CB3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I</w:t>
            </w:r>
            <w:r w:rsidR="00EE7B7F" w:rsidRPr="00FD3CB3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V</w:t>
            </w:r>
            <w:r w:rsidR="00BB291F"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 xml:space="preserve"> (</w:t>
            </w:r>
            <w:r w:rsidR="00EE7B7F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October</w:t>
            </w:r>
            <w:r w:rsidR="00BB291F"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 xml:space="preserve"> 202</w:t>
            </w:r>
            <w:r w:rsidR="00BD34F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5</w:t>
            </w:r>
            <w:r w:rsidR="00BB291F" w:rsidRPr="00921E9B">
              <w:rPr>
                <w:rFonts w:ascii="Calibri" w:hAnsi="Calibri" w:cs="Calibri"/>
                <w:b/>
                <w:sz w:val="28"/>
                <w:szCs w:val="28"/>
                <w:lang w:val="en-IN"/>
              </w:rPr>
              <w:t>)</w:t>
            </w:r>
            <w:r w:rsidR="00BB291F" w:rsidRPr="00921E9B">
              <w:rPr>
                <w:rFonts w:ascii="Calibri" w:hAnsi="Calibri" w:cs="Calibri"/>
                <w:b/>
                <w:sz w:val="32"/>
                <w:szCs w:val="24"/>
                <w:lang w:val="en-IN"/>
              </w:rPr>
              <w:t xml:space="preserve"> </w:t>
            </w:r>
          </w:p>
        </w:tc>
      </w:tr>
      <w:tr w:rsidR="00921E9B" w:rsidRPr="00921E9B" w14:paraId="4A1FEBB6" w14:textId="77777777" w:rsidTr="00000F8C">
        <w:tc>
          <w:tcPr>
            <w:tcW w:w="5000" w:type="pct"/>
            <w:gridSpan w:val="2"/>
          </w:tcPr>
          <w:p w14:paraId="0F40F5BC" w14:textId="77777777" w:rsidR="00BB291F" w:rsidRPr="00921E9B" w:rsidRDefault="00903A58" w:rsidP="00FD3CB3">
            <w:pPr>
              <w:spacing w:after="0" w:line="240" w:lineRule="auto"/>
              <w:rPr>
                <w:rFonts w:ascii="Calibri" w:hAnsi="Calibri" w:cs="Calibri"/>
                <w:i/>
                <w:szCs w:val="24"/>
                <w:lang w:val="en-IN"/>
              </w:rPr>
            </w:pPr>
            <w:r w:rsidRPr="00921E9B">
              <w:rPr>
                <w:rFonts w:ascii="Calibri" w:hAnsi="Calibri" w:cs="Calibri"/>
                <w:b/>
                <w:sz w:val="24"/>
                <w:szCs w:val="24"/>
                <w:lang w:val="en-IN"/>
              </w:rPr>
              <w:t xml:space="preserve"> </w:t>
            </w:r>
            <w:r w:rsidR="00BB291F" w:rsidRPr="00921E9B">
              <w:rPr>
                <w:rFonts w:ascii="Calibri" w:hAnsi="Calibri" w:cs="Calibri"/>
                <w:b/>
                <w:sz w:val="24"/>
                <w:szCs w:val="24"/>
                <w:lang w:val="en-IN"/>
              </w:rPr>
              <w:t xml:space="preserve">Time Duration : 2 Hours                                                                                 </w:t>
            </w:r>
            <w:r w:rsidR="00B71AD9" w:rsidRPr="00921E9B">
              <w:rPr>
                <w:rFonts w:ascii="Calibri" w:hAnsi="Calibri" w:cs="Calibri"/>
                <w:b/>
                <w:sz w:val="24"/>
                <w:szCs w:val="24"/>
                <w:lang w:val="en-IN"/>
              </w:rPr>
              <w:t xml:space="preserve">      </w:t>
            </w:r>
            <w:r w:rsidRPr="00921E9B">
              <w:rPr>
                <w:rFonts w:ascii="Calibri" w:hAnsi="Calibri" w:cs="Calibri"/>
                <w:b/>
                <w:sz w:val="24"/>
                <w:szCs w:val="24"/>
                <w:lang w:val="en-IN"/>
              </w:rPr>
              <w:t xml:space="preserve">  </w:t>
            </w:r>
            <w:r w:rsidR="00B71AD9" w:rsidRPr="00921E9B">
              <w:rPr>
                <w:rFonts w:ascii="Calibri" w:hAnsi="Calibri" w:cs="Calibri"/>
                <w:b/>
                <w:sz w:val="24"/>
                <w:szCs w:val="24"/>
                <w:lang w:val="en-IN"/>
              </w:rPr>
              <w:t xml:space="preserve"> </w:t>
            </w:r>
            <w:r w:rsidR="00BB291F" w:rsidRPr="00921E9B">
              <w:rPr>
                <w:rFonts w:ascii="Calibri" w:hAnsi="Calibri" w:cs="Calibri"/>
                <w:b/>
                <w:sz w:val="24"/>
                <w:szCs w:val="24"/>
                <w:lang w:val="en-IN"/>
              </w:rPr>
              <w:t>Total Marks: 40</w:t>
            </w:r>
          </w:p>
        </w:tc>
      </w:tr>
    </w:tbl>
    <w:p w14:paraId="45A28AB8" w14:textId="77777777" w:rsidR="00000F8C" w:rsidRDefault="00000F8C" w:rsidP="00FD3CB3">
      <w:pPr>
        <w:spacing w:after="0" w:line="240" w:lineRule="auto"/>
        <w:jc w:val="both"/>
        <w:rPr>
          <w:rFonts w:ascii="Calibri" w:hAnsi="Calibri" w:cs="Calibri"/>
          <w:b/>
          <w:i/>
          <w:iCs/>
          <w:sz w:val="14"/>
          <w:szCs w:val="24"/>
        </w:rPr>
      </w:pPr>
    </w:p>
    <w:p w14:paraId="07B09A60" w14:textId="77777777" w:rsidR="00E61C02" w:rsidRPr="00921E9B" w:rsidRDefault="000C6F0D" w:rsidP="00FD3CB3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921E9B">
        <w:rPr>
          <w:rFonts w:ascii="Calibri" w:hAnsi="Calibri" w:cs="Calibri"/>
          <w:b/>
          <w:i/>
          <w:iCs/>
          <w:sz w:val="24"/>
          <w:szCs w:val="24"/>
        </w:rPr>
        <w:t xml:space="preserve">General </w:t>
      </w:r>
      <w:r w:rsidR="00E61C02" w:rsidRPr="00921E9B">
        <w:rPr>
          <w:rFonts w:ascii="Calibri" w:hAnsi="Calibri" w:cs="Calibri"/>
          <w:b/>
          <w:i/>
          <w:iCs/>
          <w:sz w:val="24"/>
          <w:szCs w:val="24"/>
        </w:rPr>
        <w:t>Instructions</w:t>
      </w:r>
      <w:r w:rsidR="00E61C02" w:rsidRPr="00921E9B">
        <w:rPr>
          <w:rFonts w:ascii="Calibri" w:hAnsi="Calibri" w:cs="Calibri"/>
          <w:b/>
          <w:sz w:val="24"/>
          <w:szCs w:val="24"/>
        </w:rPr>
        <w:t>:</w:t>
      </w:r>
    </w:p>
    <w:p w14:paraId="1D1F0D13" w14:textId="77777777" w:rsidR="00AF7654" w:rsidRPr="00FD3CB3" w:rsidRDefault="00AF7654" w:rsidP="00FD3CB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  <w:i/>
          <w:sz w:val="24"/>
          <w:szCs w:val="24"/>
        </w:rPr>
      </w:pPr>
      <w:r w:rsidRPr="00FD3CB3">
        <w:rPr>
          <w:rFonts w:ascii="Calibri" w:hAnsi="Calibri" w:cs="Calibri"/>
          <w:bCs/>
          <w:i/>
          <w:sz w:val="24"/>
          <w:szCs w:val="24"/>
        </w:rPr>
        <w:t>Answer the questions as directed. The break-up of the marks is given wherever necessary.</w:t>
      </w:r>
    </w:p>
    <w:p w14:paraId="4B454E38" w14:textId="77777777" w:rsidR="00AF7654" w:rsidRPr="00FD3CB3" w:rsidRDefault="00AF7654" w:rsidP="00FD3CB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  <w:i/>
          <w:sz w:val="24"/>
          <w:szCs w:val="24"/>
        </w:rPr>
      </w:pPr>
      <w:r w:rsidRPr="00FD3CB3">
        <w:rPr>
          <w:rFonts w:ascii="Calibri" w:hAnsi="Calibri" w:cs="Calibri"/>
          <w:bCs/>
          <w:i/>
          <w:sz w:val="24"/>
          <w:szCs w:val="24"/>
        </w:rPr>
        <w:t>Marks against each question is indicated to its right.</w:t>
      </w:r>
    </w:p>
    <w:p w14:paraId="3CD69CA6" w14:textId="77777777" w:rsidR="00AF7654" w:rsidRPr="00FD3CB3" w:rsidRDefault="00AF7654" w:rsidP="00FD3CB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  <w:i/>
          <w:sz w:val="24"/>
          <w:szCs w:val="24"/>
        </w:rPr>
      </w:pPr>
      <w:r w:rsidRPr="00FD3CB3">
        <w:rPr>
          <w:rFonts w:ascii="Calibri" w:hAnsi="Calibri" w:cs="Calibri"/>
          <w:bCs/>
          <w:i/>
          <w:sz w:val="24"/>
          <w:szCs w:val="24"/>
        </w:rPr>
        <w:t>Answer all the questions of a ‘Section/Question’ at one place in continuation.</w:t>
      </w:r>
    </w:p>
    <w:p w14:paraId="10447223" w14:textId="77777777" w:rsidR="00AF7654" w:rsidRPr="00FD3CB3" w:rsidRDefault="00AF7654" w:rsidP="00FD3CB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  <w:bCs/>
          <w:i/>
          <w:sz w:val="24"/>
          <w:szCs w:val="24"/>
        </w:rPr>
      </w:pPr>
      <w:r w:rsidRPr="00FD3CB3">
        <w:rPr>
          <w:rFonts w:ascii="Calibri" w:hAnsi="Calibri" w:cs="Calibri"/>
          <w:bCs/>
          <w:i/>
          <w:sz w:val="24"/>
          <w:szCs w:val="24"/>
        </w:rPr>
        <w:t xml:space="preserve">Answers should be brief and to the point. </w:t>
      </w:r>
    </w:p>
    <w:p w14:paraId="2CDB566C" w14:textId="77777777" w:rsidR="000C6F0D" w:rsidRPr="00FD3CB3" w:rsidRDefault="000C6F0D" w:rsidP="00FD3CB3">
      <w:pPr>
        <w:pStyle w:val="ListParagraph"/>
        <w:numPr>
          <w:ilvl w:val="0"/>
          <w:numId w:val="1"/>
        </w:numPr>
        <w:pBdr>
          <w:bottom w:val="single" w:sz="6" w:space="10" w:color="auto"/>
        </w:pBdr>
        <w:spacing w:after="0" w:line="240" w:lineRule="auto"/>
        <w:jc w:val="both"/>
        <w:rPr>
          <w:rFonts w:ascii="Calibri" w:hAnsi="Calibri" w:cs="Calibri"/>
          <w:bCs/>
          <w:i/>
          <w:sz w:val="24"/>
          <w:szCs w:val="24"/>
        </w:rPr>
      </w:pPr>
      <w:r w:rsidRPr="00FD3CB3">
        <w:rPr>
          <w:rFonts w:ascii="Calibri" w:hAnsi="Calibri" w:cs="Calibri"/>
          <w:bCs/>
          <w:i/>
          <w:sz w:val="24"/>
          <w:szCs w:val="24"/>
        </w:rPr>
        <w:t>Do not write on the question paper except your roll number</w:t>
      </w:r>
      <w:r w:rsidR="00AF7654" w:rsidRPr="00FD3CB3">
        <w:rPr>
          <w:rFonts w:ascii="Calibri" w:hAnsi="Calibri" w:cs="Calibri"/>
          <w:bCs/>
          <w:i/>
          <w:sz w:val="24"/>
          <w:szCs w:val="24"/>
        </w:rPr>
        <w:t>.</w:t>
      </w:r>
    </w:p>
    <w:p w14:paraId="39EEE384" w14:textId="3B7658CA" w:rsidR="00FD3CB3" w:rsidRPr="00FD3CB3" w:rsidRDefault="00FD3CB3" w:rsidP="00FD3CB3">
      <w:pPr>
        <w:pStyle w:val="ListParagraph"/>
        <w:numPr>
          <w:ilvl w:val="0"/>
          <w:numId w:val="1"/>
        </w:numPr>
        <w:pBdr>
          <w:bottom w:val="single" w:sz="6" w:space="10" w:color="auto"/>
        </w:pBdr>
        <w:spacing w:after="0" w:line="240" w:lineRule="auto"/>
        <w:jc w:val="both"/>
        <w:rPr>
          <w:rFonts w:ascii="Calibri" w:hAnsi="Calibri" w:cs="Calibri"/>
          <w:bCs/>
          <w:i/>
          <w:sz w:val="24"/>
          <w:szCs w:val="24"/>
        </w:rPr>
      </w:pPr>
      <w:r w:rsidRPr="00FD3CB3">
        <w:rPr>
          <w:rFonts w:ascii="Calibri" w:hAnsi="Calibri" w:cs="Calibri"/>
          <w:bCs/>
          <w:i/>
          <w:sz w:val="24"/>
          <w:szCs w:val="24"/>
        </w:rPr>
        <w:t>All questions are based on the given case</w:t>
      </w:r>
    </w:p>
    <w:p w14:paraId="758F3F6E" w14:textId="77777777" w:rsidR="00AF7654" w:rsidRPr="00AF7654" w:rsidRDefault="00AF7654" w:rsidP="00FD3CB3">
      <w:pPr>
        <w:spacing w:after="0" w:line="240" w:lineRule="auto"/>
        <w:ind w:left="360"/>
        <w:jc w:val="both"/>
        <w:rPr>
          <w:rFonts w:ascii="Calibri" w:hAnsi="Calibri" w:cs="Calibri"/>
          <w:bCs/>
          <w:i/>
          <w:sz w:val="24"/>
          <w:szCs w:val="24"/>
        </w:rPr>
      </w:pPr>
    </w:p>
    <w:p w14:paraId="138142C5" w14:textId="77777777" w:rsidR="0091524B" w:rsidRDefault="0091524B" w:rsidP="00FD3CB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60EB30F1" w14:textId="77777777" w:rsidR="00BB291F" w:rsidRPr="00E16D71" w:rsidRDefault="00000F8C" w:rsidP="00FD3CB3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u w:val="single"/>
        </w:rPr>
      </w:pPr>
      <w:r w:rsidRPr="00E16D71">
        <w:rPr>
          <w:rFonts w:ascii="Calibri" w:eastAsia="Times New Roman" w:hAnsi="Calibri" w:cs="Calibri"/>
          <w:b/>
          <w:sz w:val="24"/>
          <w:szCs w:val="24"/>
          <w:u w:val="single"/>
        </w:rPr>
        <w:t>SECTION - A</w:t>
      </w:r>
    </w:p>
    <w:p w14:paraId="7E9E6FDF" w14:textId="4B81F2D6" w:rsidR="00FD3CB3" w:rsidRPr="00FD3CB3" w:rsidRDefault="00FD3CB3" w:rsidP="00FD3CB3">
      <w:pPr>
        <w:spacing w:line="240" w:lineRule="auto"/>
        <w:jc w:val="both"/>
        <w:rPr>
          <w:rFonts w:cstheme="minorHAnsi"/>
        </w:rPr>
      </w:pPr>
      <w:r w:rsidRPr="00FD3CB3">
        <w:rPr>
          <w:rFonts w:cstheme="minorHAnsi"/>
        </w:rPr>
        <w:t xml:space="preserve">Rajesh had taken charge of a new sales territory, and a slew of troubles struck him. He was welcomed by a fight between the wholesalers and retailers, both of whom were important for him as his company was into packaged consumer goods – a category needing significant push marketing. The distributors got 7% margin on the goods they sold and the retailers 10%. The distributors cited this difference in margin not to cooperate with the company in implementing their latest sales promotion - a ‘Display and selling aid campaign.’ The campaign involved placing a very attractive </w:t>
      </w:r>
      <w:r w:rsidR="00664978">
        <w:rPr>
          <w:rFonts w:cstheme="minorHAnsi"/>
        </w:rPr>
        <w:t>back-</w:t>
      </w:r>
      <w:r w:rsidRPr="00FD3CB3">
        <w:rPr>
          <w:rFonts w:cstheme="minorHAnsi"/>
        </w:rPr>
        <w:t xml:space="preserve">lighted board at the retailer level displaying all the company’s different products. The retailers felt that such schemes would benefit immensely in shopper/ PoS marketing of the company brands and predicted an impact of at least 20% increase in sales. The initial tests also had returned very positive results with sales for the company brand </w:t>
      </w:r>
      <w:r w:rsidR="00664978" w:rsidRPr="00FD3CB3">
        <w:rPr>
          <w:rFonts w:cstheme="minorHAnsi"/>
        </w:rPr>
        <w:t>increasing by</w:t>
      </w:r>
      <w:r w:rsidRPr="00FD3CB3">
        <w:rPr>
          <w:rFonts w:cstheme="minorHAnsi"/>
        </w:rPr>
        <w:t xml:space="preserve"> about 25% in test outlets.</w:t>
      </w:r>
    </w:p>
    <w:p w14:paraId="1F36BA9F" w14:textId="77777777" w:rsidR="00FD3CB3" w:rsidRPr="00FD3CB3" w:rsidRDefault="00FD3CB3" w:rsidP="00FD3CB3">
      <w:pPr>
        <w:spacing w:line="240" w:lineRule="auto"/>
        <w:jc w:val="both"/>
        <w:rPr>
          <w:rFonts w:cstheme="minorHAnsi"/>
        </w:rPr>
      </w:pPr>
      <w:r w:rsidRPr="00FD3CB3">
        <w:rPr>
          <w:rFonts w:cstheme="minorHAnsi"/>
        </w:rPr>
        <w:t>However, the distributors had a different viewpoint. They pointed out that they had to additionally carry the display to the retailer, install and monitor – as per the promotional plan, involving additional costs and would push them into losses considering their already low margins. To support their claim. They presented the following data.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D3CB3" w:rsidRPr="00FD3CB3" w14:paraId="7211A917" w14:textId="77777777" w:rsidTr="002F087E">
        <w:tc>
          <w:tcPr>
            <w:tcW w:w="3005" w:type="dxa"/>
          </w:tcPr>
          <w:p w14:paraId="11A21BF0" w14:textId="77777777" w:rsidR="00FD3CB3" w:rsidRPr="00FD3CB3" w:rsidRDefault="00FD3CB3" w:rsidP="00FD3CB3">
            <w:pPr>
              <w:spacing w:line="240" w:lineRule="auto"/>
              <w:jc w:val="both"/>
              <w:rPr>
                <w:rFonts w:cstheme="minorHAnsi"/>
              </w:rPr>
            </w:pPr>
          </w:p>
        </w:tc>
        <w:tc>
          <w:tcPr>
            <w:tcW w:w="3005" w:type="dxa"/>
          </w:tcPr>
          <w:p w14:paraId="1316862E" w14:textId="77777777" w:rsidR="00FD3CB3" w:rsidRPr="00FD3CB3" w:rsidRDefault="00FD3CB3" w:rsidP="00FD3CB3">
            <w:pPr>
              <w:spacing w:line="240" w:lineRule="auto"/>
              <w:jc w:val="both"/>
              <w:rPr>
                <w:rFonts w:cstheme="minorHAnsi"/>
              </w:rPr>
            </w:pPr>
            <w:r w:rsidRPr="00FD3CB3">
              <w:rPr>
                <w:rFonts w:cstheme="minorHAnsi"/>
              </w:rPr>
              <w:t>Distributor</w:t>
            </w:r>
          </w:p>
        </w:tc>
        <w:tc>
          <w:tcPr>
            <w:tcW w:w="3006" w:type="dxa"/>
          </w:tcPr>
          <w:p w14:paraId="62264AD5" w14:textId="77777777" w:rsidR="00FD3CB3" w:rsidRPr="00FD3CB3" w:rsidRDefault="00FD3CB3" w:rsidP="00FD3CB3">
            <w:pPr>
              <w:spacing w:line="240" w:lineRule="auto"/>
              <w:jc w:val="both"/>
              <w:rPr>
                <w:rFonts w:cstheme="minorHAnsi"/>
              </w:rPr>
            </w:pPr>
            <w:r w:rsidRPr="00FD3CB3">
              <w:rPr>
                <w:rFonts w:cstheme="minorHAnsi"/>
              </w:rPr>
              <w:t>Retailer</w:t>
            </w:r>
          </w:p>
        </w:tc>
      </w:tr>
      <w:tr w:rsidR="00FD3CB3" w:rsidRPr="00FD3CB3" w14:paraId="415EB943" w14:textId="77777777" w:rsidTr="002F087E">
        <w:tc>
          <w:tcPr>
            <w:tcW w:w="3005" w:type="dxa"/>
          </w:tcPr>
          <w:p w14:paraId="2A90BDC9" w14:textId="77777777" w:rsidR="00FD3CB3" w:rsidRPr="00FD3CB3" w:rsidRDefault="00FD3CB3" w:rsidP="00FD3CB3">
            <w:pPr>
              <w:spacing w:line="240" w:lineRule="auto"/>
              <w:jc w:val="both"/>
              <w:rPr>
                <w:rFonts w:cstheme="minorHAnsi"/>
              </w:rPr>
            </w:pPr>
            <w:r w:rsidRPr="00FD3CB3">
              <w:rPr>
                <w:rFonts w:cstheme="minorHAnsi"/>
              </w:rPr>
              <w:t>Channel Functions</w:t>
            </w:r>
          </w:p>
        </w:tc>
        <w:tc>
          <w:tcPr>
            <w:tcW w:w="3005" w:type="dxa"/>
          </w:tcPr>
          <w:p w14:paraId="0DCD8730" w14:textId="77777777" w:rsidR="00FD3CB3" w:rsidRPr="00FD3CB3" w:rsidRDefault="00FD3CB3" w:rsidP="00FD3CB3">
            <w:pPr>
              <w:spacing w:line="240" w:lineRule="auto"/>
              <w:jc w:val="both"/>
              <w:rPr>
                <w:rFonts w:cstheme="minorHAnsi"/>
              </w:rPr>
            </w:pPr>
            <w:r w:rsidRPr="00FD3CB3">
              <w:rPr>
                <w:rFonts w:cstheme="minorHAnsi"/>
              </w:rPr>
              <w:t>Storage</w:t>
            </w:r>
          </w:p>
          <w:p w14:paraId="20C7F4A3" w14:textId="77777777" w:rsidR="00FD3CB3" w:rsidRPr="00FD3CB3" w:rsidRDefault="00FD3CB3" w:rsidP="00FD3CB3">
            <w:pPr>
              <w:spacing w:line="240" w:lineRule="auto"/>
              <w:jc w:val="both"/>
              <w:rPr>
                <w:rFonts w:cstheme="minorHAnsi"/>
              </w:rPr>
            </w:pPr>
            <w:r w:rsidRPr="00FD3CB3">
              <w:rPr>
                <w:rFonts w:cstheme="minorHAnsi"/>
              </w:rPr>
              <w:t>Transportation</w:t>
            </w:r>
          </w:p>
          <w:p w14:paraId="3200CD89" w14:textId="77777777" w:rsidR="00FD3CB3" w:rsidRPr="00FD3CB3" w:rsidRDefault="00FD3CB3" w:rsidP="00FD3CB3">
            <w:pPr>
              <w:spacing w:line="240" w:lineRule="auto"/>
              <w:jc w:val="both"/>
              <w:rPr>
                <w:rFonts w:cstheme="minorHAnsi"/>
              </w:rPr>
            </w:pPr>
            <w:r w:rsidRPr="00FD3CB3">
              <w:rPr>
                <w:rFonts w:cstheme="minorHAnsi"/>
              </w:rPr>
              <w:t>Information function</w:t>
            </w:r>
          </w:p>
          <w:p w14:paraId="63D9BCB6" w14:textId="77777777" w:rsidR="00FD3CB3" w:rsidRPr="00FD3CB3" w:rsidRDefault="00FD3CB3" w:rsidP="00FD3CB3">
            <w:pPr>
              <w:spacing w:line="240" w:lineRule="auto"/>
              <w:jc w:val="both"/>
              <w:rPr>
                <w:rFonts w:cstheme="minorHAnsi"/>
              </w:rPr>
            </w:pPr>
            <w:r w:rsidRPr="00FD3CB3">
              <w:rPr>
                <w:rFonts w:cstheme="minorHAnsi"/>
              </w:rPr>
              <w:t>Order processing</w:t>
            </w:r>
          </w:p>
          <w:p w14:paraId="332977F2" w14:textId="77777777" w:rsidR="00FD3CB3" w:rsidRPr="00FD3CB3" w:rsidRDefault="00FD3CB3" w:rsidP="00FD3CB3">
            <w:pPr>
              <w:spacing w:line="240" w:lineRule="auto"/>
              <w:jc w:val="both"/>
              <w:rPr>
                <w:rFonts w:cstheme="minorHAnsi"/>
              </w:rPr>
            </w:pPr>
            <w:r w:rsidRPr="00FD3CB3">
              <w:rPr>
                <w:rFonts w:cstheme="minorHAnsi"/>
              </w:rPr>
              <w:t>Credit function</w:t>
            </w:r>
          </w:p>
          <w:p w14:paraId="58EB52FB" w14:textId="77777777" w:rsidR="00FD3CB3" w:rsidRPr="00FD3CB3" w:rsidRDefault="00FD3CB3" w:rsidP="00FD3CB3">
            <w:pPr>
              <w:spacing w:line="240" w:lineRule="auto"/>
              <w:jc w:val="both"/>
              <w:rPr>
                <w:rFonts w:cstheme="minorHAnsi"/>
              </w:rPr>
            </w:pPr>
            <w:r w:rsidRPr="00FD3CB3">
              <w:rPr>
                <w:rFonts w:cstheme="minorHAnsi"/>
              </w:rPr>
              <w:t>Risk bearing</w:t>
            </w:r>
          </w:p>
          <w:p w14:paraId="56DB5FBE" w14:textId="77777777" w:rsidR="00FD3CB3" w:rsidRPr="00FD3CB3" w:rsidRDefault="00FD3CB3" w:rsidP="00FD3CB3">
            <w:pPr>
              <w:spacing w:line="240" w:lineRule="auto"/>
              <w:jc w:val="both"/>
              <w:rPr>
                <w:rFonts w:cstheme="minorHAnsi"/>
              </w:rPr>
            </w:pPr>
            <w:r w:rsidRPr="00FD3CB3">
              <w:rPr>
                <w:rFonts w:cstheme="minorHAnsi"/>
              </w:rPr>
              <w:t>Promotional function</w:t>
            </w:r>
          </w:p>
        </w:tc>
        <w:tc>
          <w:tcPr>
            <w:tcW w:w="3006" w:type="dxa"/>
          </w:tcPr>
          <w:p w14:paraId="38F4DFD4" w14:textId="77777777" w:rsidR="00FD3CB3" w:rsidRPr="00FD3CB3" w:rsidRDefault="00FD3CB3" w:rsidP="00FD3CB3">
            <w:pPr>
              <w:spacing w:line="240" w:lineRule="auto"/>
              <w:jc w:val="both"/>
              <w:rPr>
                <w:rFonts w:cstheme="minorHAnsi"/>
              </w:rPr>
            </w:pPr>
            <w:r w:rsidRPr="00FD3CB3">
              <w:rPr>
                <w:rFonts w:cstheme="minorHAnsi"/>
              </w:rPr>
              <w:t>Storage</w:t>
            </w:r>
          </w:p>
          <w:p w14:paraId="253B9FC2" w14:textId="77777777" w:rsidR="00FD3CB3" w:rsidRPr="00FD3CB3" w:rsidRDefault="00FD3CB3" w:rsidP="00FD3CB3">
            <w:pPr>
              <w:spacing w:line="240" w:lineRule="auto"/>
              <w:jc w:val="both"/>
              <w:rPr>
                <w:rFonts w:cstheme="minorHAnsi"/>
              </w:rPr>
            </w:pPr>
            <w:r w:rsidRPr="00FD3CB3">
              <w:rPr>
                <w:rFonts w:cstheme="minorHAnsi"/>
              </w:rPr>
              <w:t>Information function</w:t>
            </w:r>
          </w:p>
          <w:p w14:paraId="7B6CA3D9" w14:textId="77777777" w:rsidR="00FD3CB3" w:rsidRPr="00FD3CB3" w:rsidRDefault="00FD3CB3" w:rsidP="00FD3CB3">
            <w:pPr>
              <w:spacing w:line="240" w:lineRule="auto"/>
              <w:jc w:val="both"/>
              <w:rPr>
                <w:rFonts w:cstheme="minorHAnsi"/>
              </w:rPr>
            </w:pPr>
            <w:r w:rsidRPr="00FD3CB3">
              <w:rPr>
                <w:rFonts w:cstheme="minorHAnsi"/>
              </w:rPr>
              <w:t>Risk bearing</w:t>
            </w:r>
          </w:p>
          <w:p w14:paraId="11D6BBE3" w14:textId="77777777" w:rsidR="00FD3CB3" w:rsidRPr="00FD3CB3" w:rsidRDefault="00FD3CB3" w:rsidP="00FD3CB3">
            <w:pPr>
              <w:spacing w:line="240" w:lineRule="auto"/>
              <w:jc w:val="both"/>
              <w:rPr>
                <w:rFonts w:cstheme="minorHAnsi"/>
              </w:rPr>
            </w:pPr>
            <w:r w:rsidRPr="00FD3CB3">
              <w:rPr>
                <w:rFonts w:cstheme="minorHAnsi"/>
              </w:rPr>
              <w:t>Selling function</w:t>
            </w:r>
          </w:p>
          <w:p w14:paraId="75F2B746" w14:textId="77777777" w:rsidR="00FD3CB3" w:rsidRPr="00FD3CB3" w:rsidRDefault="00FD3CB3" w:rsidP="00FD3CB3">
            <w:pPr>
              <w:spacing w:line="240" w:lineRule="auto"/>
              <w:jc w:val="both"/>
              <w:rPr>
                <w:rFonts w:cstheme="minorHAnsi"/>
              </w:rPr>
            </w:pPr>
            <w:r w:rsidRPr="00FD3CB3">
              <w:rPr>
                <w:rFonts w:cstheme="minorHAnsi"/>
              </w:rPr>
              <w:t>Promotional function</w:t>
            </w:r>
          </w:p>
          <w:p w14:paraId="7B6DE107" w14:textId="77777777" w:rsidR="00FD3CB3" w:rsidRPr="00FD3CB3" w:rsidRDefault="00FD3CB3" w:rsidP="00FD3CB3">
            <w:pPr>
              <w:spacing w:line="240" w:lineRule="auto"/>
              <w:jc w:val="both"/>
              <w:rPr>
                <w:rFonts w:cstheme="minorHAnsi"/>
              </w:rPr>
            </w:pPr>
            <w:r w:rsidRPr="00FD3CB3">
              <w:rPr>
                <w:rFonts w:cstheme="minorHAnsi"/>
              </w:rPr>
              <w:t>Merchandising/ display</w:t>
            </w:r>
          </w:p>
        </w:tc>
      </w:tr>
      <w:tr w:rsidR="00FD3CB3" w:rsidRPr="00FD3CB3" w14:paraId="725617A7" w14:textId="77777777" w:rsidTr="002F087E">
        <w:tc>
          <w:tcPr>
            <w:tcW w:w="3005" w:type="dxa"/>
          </w:tcPr>
          <w:p w14:paraId="69F61295" w14:textId="77777777" w:rsidR="00FD3CB3" w:rsidRPr="00FD3CB3" w:rsidRDefault="00FD3CB3" w:rsidP="00FD3CB3">
            <w:pPr>
              <w:spacing w:line="240" w:lineRule="auto"/>
              <w:jc w:val="both"/>
              <w:rPr>
                <w:rFonts w:cstheme="minorHAnsi"/>
              </w:rPr>
            </w:pPr>
            <w:r w:rsidRPr="00FD3CB3">
              <w:rPr>
                <w:rFonts w:cstheme="minorHAnsi"/>
              </w:rPr>
              <w:lastRenderedPageBreak/>
              <w:t>Average turnover/ month (from company products)</w:t>
            </w:r>
          </w:p>
        </w:tc>
        <w:tc>
          <w:tcPr>
            <w:tcW w:w="3005" w:type="dxa"/>
          </w:tcPr>
          <w:p w14:paraId="2033D6C4" w14:textId="77777777" w:rsidR="00FD3CB3" w:rsidRPr="00FD3CB3" w:rsidRDefault="00FD3CB3" w:rsidP="00FD3CB3">
            <w:pPr>
              <w:spacing w:line="240" w:lineRule="auto"/>
              <w:jc w:val="both"/>
              <w:rPr>
                <w:rFonts w:cstheme="minorHAnsi"/>
              </w:rPr>
            </w:pPr>
            <w:r w:rsidRPr="00FD3CB3">
              <w:rPr>
                <w:rFonts w:cstheme="minorHAnsi"/>
              </w:rPr>
              <w:t>5 lakhs</w:t>
            </w:r>
          </w:p>
        </w:tc>
        <w:tc>
          <w:tcPr>
            <w:tcW w:w="3006" w:type="dxa"/>
          </w:tcPr>
          <w:p w14:paraId="7FC2E19C" w14:textId="77777777" w:rsidR="00FD3CB3" w:rsidRPr="00FD3CB3" w:rsidRDefault="00FD3CB3" w:rsidP="00FD3CB3">
            <w:pPr>
              <w:spacing w:line="240" w:lineRule="auto"/>
              <w:jc w:val="both"/>
              <w:rPr>
                <w:rFonts w:cstheme="minorHAnsi"/>
              </w:rPr>
            </w:pPr>
            <w:r w:rsidRPr="00FD3CB3">
              <w:rPr>
                <w:rFonts w:cstheme="minorHAnsi"/>
              </w:rPr>
              <w:t>0.5 lakhs</w:t>
            </w:r>
          </w:p>
        </w:tc>
      </w:tr>
      <w:tr w:rsidR="00FD3CB3" w:rsidRPr="00FD3CB3" w14:paraId="12CB48B6" w14:textId="77777777" w:rsidTr="002F087E">
        <w:tc>
          <w:tcPr>
            <w:tcW w:w="3005" w:type="dxa"/>
          </w:tcPr>
          <w:p w14:paraId="6BD656C7" w14:textId="77777777" w:rsidR="00FD3CB3" w:rsidRPr="00FD3CB3" w:rsidRDefault="00FD3CB3" w:rsidP="00FD3CB3">
            <w:pPr>
              <w:spacing w:line="240" w:lineRule="auto"/>
              <w:jc w:val="both"/>
              <w:rPr>
                <w:rFonts w:cstheme="minorHAnsi"/>
              </w:rPr>
            </w:pPr>
            <w:r w:rsidRPr="00FD3CB3">
              <w:rPr>
                <w:rFonts w:cstheme="minorHAnsi"/>
              </w:rPr>
              <w:t>Average credit given</w:t>
            </w:r>
          </w:p>
        </w:tc>
        <w:tc>
          <w:tcPr>
            <w:tcW w:w="3005" w:type="dxa"/>
          </w:tcPr>
          <w:p w14:paraId="18CC0CE7" w14:textId="77777777" w:rsidR="00FD3CB3" w:rsidRPr="00FD3CB3" w:rsidRDefault="00FD3CB3" w:rsidP="00FD3CB3">
            <w:pPr>
              <w:spacing w:line="240" w:lineRule="auto"/>
              <w:jc w:val="both"/>
              <w:rPr>
                <w:rFonts w:cstheme="minorHAnsi"/>
              </w:rPr>
            </w:pPr>
            <w:r w:rsidRPr="00FD3CB3">
              <w:rPr>
                <w:rFonts w:cstheme="minorHAnsi"/>
              </w:rPr>
              <w:t>15 days</w:t>
            </w:r>
          </w:p>
        </w:tc>
        <w:tc>
          <w:tcPr>
            <w:tcW w:w="3006" w:type="dxa"/>
          </w:tcPr>
          <w:p w14:paraId="6717B017" w14:textId="77777777" w:rsidR="00FD3CB3" w:rsidRPr="00FD3CB3" w:rsidRDefault="00FD3CB3" w:rsidP="00FD3CB3">
            <w:pPr>
              <w:spacing w:line="240" w:lineRule="auto"/>
              <w:jc w:val="both"/>
              <w:rPr>
                <w:rFonts w:cstheme="minorHAnsi"/>
              </w:rPr>
            </w:pPr>
            <w:r w:rsidRPr="00FD3CB3">
              <w:rPr>
                <w:rFonts w:cstheme="minorHAnsi"/>
              </w:rPr>
              <w:t>0 days</w:t>
            </w:r>
          </w:p>
        </w:tc>
      </w:tr>
      <w:tr w:rsidR="00FD3CB3" w:rsidRPr="00FD3CB3" w14:paraId="5FA51037" w14:textId="77777777" w:rsidTr="002F087E">
        <w:tc>
          <w:tcPr>
            <w:tcW w:w="3005" w:type="dxa"/>
          </w:tcPr>
          <w:p w14:paraId="1BB1263E" w14:textId="77777777" w:rsidR="00FD3CB3" w:rsidRPr="00FD3CB3" w:rsidRDefault="00FD3CB3" w:rsidP="00FD3CB3">
            <w:pPr>
              <w:spacing w:line="240" w:lineRule="auto"/>
              <w:jc w:val="both"/>
              <w:rPr>
                <w:rFonts w:cstheme="minorHAnsi"/>
              </w:rPr>
            </w:pPr>
            <w:r w:rsidRPr="00FD3CB3">
              <w:rPr>
                <w:rFonts w:cstheme="minorHAnsi"/>
              </w:rPr>
              <w:t>Average Credit received</w:t>
            </w:r>
          </w:p>
        </w:tc>
        <w:tc>
          <w:tcPr>
            <w:tcW w:w="3005" w:type="dxa"/>
          </w:tcPr>
          <w:p w14:paraId="7614CDDF" w14:textId="77777777" w:rsidR="00FD3CB3" w:rsidRPr="00FD3CB3" w:rsidRDefault="00FD3CB3" w:rsidP="00FD3CB3">
            <w:pPr>
              <w:spacing w:line="240" w:lineRule="auto"/>
              <w:jc w:val="both"/>
              <w:rPr>
                <w:rFonts w:cstheme="minorHAnsi"/>
              </w:rPr>
            </w:pPr>
            <w:r w:rsidRPr="00FD3CB3">
              <w:rPr>
                <w:rFonts w:cstheme="minorHAnsi"/>
              </w:rPr>
              <w:t>0 days</w:t>
            </w:r>
          </w:p>
        </w:tc>
        <w:tc>
          <w:tcPr>
            <w:tcW w:w="3006" w:type="dxa"/>
          </w:tcPr>
          <w:p w14:paraId="172ACA71" w14:textId="77777777" w:rsidR="00FD3CB3" w:rsidRPr="00FD3CB3" w:rsidRDefault="00FD3CB3" w:rsidP="00FD3CB3">
            <w:pPr>
              <w:spacing w:line="240" w:lineRule="auto"/>
              <w:jc w:val="both"/>
              <w:rPr>
                <w:rFonts w:cstheme="minorHAnsi"/>
              </w:rPr>
            </w:pPr>
            <w:r w:rsidRPr="00FD3CB3">
              <w:rPr>
                <w:rFonts w:cstheme="minorHAnsi"/>
              </w:rPr>
              <w:t>15 days</w:t>
            </w:r>
          </w:p>
        </w:tc>
      </w:tr>
      <w:tr w:rsidR="00FD3CB3" w:rsidRPr="00FD3CB3" w14:paraId="21428F7A" w14:textId="77777777" w:rsidTr="002F087E">
        <w:tc>
          <w:tcPr>
            <w:tcW w:w="3005" w:type="dxa"/>
          </w:tcPr>
          <w:p w14:paraId="5A6BEC8A" w14:textId="77777777" w:rsidR="00FD3CB3" w:rsidRPr="00FD3CB3" w:rsidRDefault="00FD3CB3" w:rsidP="00FD3CB3">
            <w:pPr>
              <w:spacing w:line="240" w:lineRule="auto"/>
              <w:jc w:val="both"/>
              <w:rPr>
                <w:rFonts w:cstheme="minorHAnsi"/>
              </w:rPr>
            </w:pPr>
            <w:r w:rsidRPr="00FD3CB3">
              <w:rPr>
                <w:rFonts w:cstheme="minorHAnsi"/>
              </w:rPr>
              <w:t>Servicing frequency</w:t>
            </w:r>
          </w:p>
        </w:tc>
        <w:tc>
          <w:tcPr>
            <w:tcW w:w="3005" w:type="dxa"/>
          </w:tcPr>
          <w:p w14:paraId="795E4CCF" w14:textId="77777777" w:rsidR="00FD3CB3" w:rsidRPr="00FD3CB3" w:rsidRDefault="00FD3CB3" w:rsidP="00FD3CB3">
            <w:pPr>
              <w:spacing w:line="240" w:lineRule="auto"/>
              <w:jc w:val="both"/>
              <w:rPr>
                <w:rFonts w:cstheme="minorHAnsi"/>
              </w:rPr>
            </w:pPr>
            <w:r w:rsidRPr="00FD3CB3">
              <w:rPr>
                <w:rFonts w:cstheme="minorHAnsi"/>
              </w:rPr>
              <w:t>30 days</w:t>
            </w:r>
          </w:p>
        </w:tc>
        <w:tc>
          <w:tcPr>
            <w:tcW w:w="3006" w:type="dxa"/>
          </w:tcPr>
          <w:p w14:paraId="31B5A9DF" w14:textId="77777777" w:rsidR="00FD3CB3" w:rsidRPr="00FD3CB3" w:rsidRDefault="00FD3CB3" w:rsidP="00FD3CB3">
            <w:pPr>
              <w:spacing w:line="240" w:lineRule="auto"/>
              <w:jc w:val="both"/>
              <w:rPr>
                <w:rFonts w:cstheme="minorHAnsi"/>
              </w:rPr>
            </w:pPr>
            <w:r w:rsidRPr="00FD3CB3">
              <w:rPr>
                <w:rFonts w:cstheme="minorHAnsi"/>
              </w:rPr>
              <w:t>15 days</w:t>
            </w:r>
          </w:p>
        </w:tc>
      </w:tr>
    </w:tbl>
    <w:p w14:paraId="11870F65" w14:textId="77777777" w:rsidR="00FD3CB3" w:rsidRPr="00FD3CB3" w:rsidRDefault="00FD3CB3" w:rsidP="00FD3CB3">
      <w:pPr>
        <w:spacing w:line="240" w:lineRule="auto"/>
        <w:jc w:val="both"/>
        <w:rPr>
          <w:rFonts w:cstheme="minorHAnsi"/>
        </w:rPr>
      </w:pPr>
    </w:p>
    <w:p w14:paraId="05664187" w14:textId="48ACE72C" w:rsidR="00FD3CB3" w:rsidRPr="00FD3CB3" w:rsidRDefault="00FD3CB3" w:rsidP="00FD3CB3">
      <w:pPr>
        <w:spacing w:line="240" w:lineRule="auto"/>
        <w:jc w:val="both"/>
        <w:rPr>
          <w:rFonts w:cstheme="minorHAnsi"/>
        </w:rPr>
      </w:pPr>
      <w:r w:rsidRPr="00FD3CB3">
        <w:rPr>
          <w:rFonts w:cstheme="minorHAnsi"/>
        </w:rPr>
        <w:t xml:space="preserve">Yet another issue highlighted by the distributor was the price undercutting by modern trade (Jio Mart, More, D’Mart)! The distributors pointed </w:t>
      </w:r>
      <w:r w:rsidR="0002360C" w:rsidRPr="00FD3CB3">
        <w:rPr>
          <w:rFonts w:cstheme="minorHAnsi"/>
        </w:rPr>
        <w:t>out</w:t>
      </w:r>
      <w:r w:rsidRPr="00FD3CB3">
        <w:rPr>
          <w:rFonts w:cstheme="minorHAnsi"/>
        </w:rPr>
        <w:t xml:space="preserve"> retail supply by modern</w:t>
      </w:r>
      <w:r w:rsidR="0002360C">
        <w:rPr>
          <w:rFonts w:cstheme="minorHAnsi"/>
        </w:rPr>
        <w:t>-</w:t>
      </w:r>
      <w:r w:rsidRPr="00FD3CB3">
        <w:rPr>
          <w:rFonts w:cstheme="minorHAnsi"/>
        </w:rPr>
        <w:t>trade channel partners at a price below distributors which was causing losses to the distributors. They accused the company of offering special offers to the modern</w:t>
      </w:r>
      <w:r w:rsidR="0002360C">
        <w:rPr>
          <w:rFonts w:cstheme="minorHAnsi"/>
        </w:rPr>
        <w:t>-trade</w:t>
      </w:r>
      <w:r w:rsidRPr="00FD3CB3">
        <w:rPr>
          <w:rFonts w:cstheme="minorHAnsi"/>
        </w:rPr>
        <w:t xml:space="preserve"> retailers</w:t>
      </w:r>
      <w:r w:rsidR="0002360C">
        <w:rPr>
          <w:rFonts w:cstheme="minorHAnsi"/>
        </w:rPr>
        <w:t xml:space="preserve"> (m</w:t>
      </w:r>
      <w:r w:rsidRPr="00FD3CB3">
        <w:rPr>
          <w:rFonts w:cstheme="minorHAnsi"/>
        </w:rPr>
        <w:t>odern retailers were getting about 18% margins on the goods they delt with plus quantity discounts</w:t>
      </w:r>
      <w:r w:rsidR="0002360C">
        <w:rPr>
          <w:rFonts w:cstheme="minorHAnsi"/>
        </w:rPr>
        <w:t xml:space="preserve"> as they handle distributor and retailer functions)</w:t>
      </w:r>
      <w:r w:rsidRPr="00FD3CB3">
        <w:rPr>
          <w:rFonts w:cstheme="minorHAnsi"/>
        </w:rPr>
        <w:t xml:space="preserve">.  Another </w:t>
      </w:r>
      <w:r w:rsidR="0002360C" w:rsidRPr="00FD3CB3">
        <w:rPr>
          <w:rFonts w:cstheme="minorHAnsi"/>
        </w:rPr>
        <w:t>problem</w:t>
      </w:r>
      <w:r w:rsidRPr="00FD3CB3">
        <w:rPr>
          <w:rFonts w:cstheme="minorHAnsi"/>
        </w:rPr>
        <w:t xml:space="preserve"> faced by the traditional distributors (this time along with retailers!) was D2C </w:t>
      </w:r>
      <w:r w:rsidR="0002360C" w:rsidRPr="00FD3CB3">
        <w:rPr>
          <w:rFonts w:cstheme="minorHAnsi"/>
        </w:rPr>
        <w:t>route</w:t>
      </w:r>
      <w:r w:rsidRPr="00FD3CB3">
        <w:rPr>
          <w:rFonts w:cstheme="minorHAnsi"/>
        </w:rPr>
        <w:t xml:space="preserve"> taken by some of the modern</w:t>
      </w:r>
      <w:r w:rsidR="0002360C">
        <w:rPr>
          <w:rFonts w:cstheme="minorHAnsi"/>
        </w:rPr>
        <w:t>-</w:t>
      </w:r>
      <w:r w:rsidRPr="00FD3CB3">
        <w:rPr>
          <w:rFonts w:cstheme="minorHAnsi"/>
        </w:rPr>
        <w:t xml:space="preserve">trade channel members, which was causing losses </w:t>
      </w:r>
      <w:r w:rsidR="00664978" w:rsidRPr="00FD3CB3">
        <w:rPr>
          <w:rFonts w:cstheme="minorHAnsi"/>
        </w:rPr>
        <w:t>for</w:t>
      </w:r>
      <w:r w:rsidRPr="00FD3CB3">
        <w:rPr>
          <w:rFonts w:cstheme="minorHAnsi"/>
        </w:rPr>
        <w:t xml:space="preserve"> both distributors and retailers. While meeting the local distributor association office bearers, Rajesh was asked for a resolution to their problem, which if left unanswered would lead to decline of more than three decades of relationship between the company and its channel partners – this was something Rajesh and his company couldn’t afford considering that traditional retail still accounted for nearly 90% retail in India, though things were changing fast.</w:t>
      </w:r>
    </w:p>
    <w:p w14:paraId="133C635F" w14:textId="77777777" w:rsidR="00B851C8" w:rsidRDefault="00FD3CB3" w:rsidP="00FD3CB3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cstheme="minorHAnsi"/>
        </w:rPr>
      </w:pPr>
      <w:r w:rsidRPr="00FD3CB3">
        <w:rPr>
          <w:rFonts w:cstheme="minorHAnsi"/>
        </w:rPr>
        <w:t>Which channel level is more profitable? Solve the riddle from the data given in the case</w:t>
      </w:r>
      <w:r w:rsidR="00B851C8">
        <w:rPr>
          <w:rFonts w:cstheme="minorHAnsi"/>
        </w:rPr>
        <w:t>.</w:t>
      </w:r>
      <w:r w:rsidRPr="00FD3CB3">
        <w:rPr>
          <w:rFonts w:cstheme="minorHAnsi"/>
        </w:rPr>
        <w:t xml:space="preserve"> </w:t>
      </w:r>
    </w:p>
    <w:p w14:paraId="3EEC957C" w14:textId="7BFF5C46" w:rsidR="00FD3CB3" w:rsidRPr="00B851C8" w:rsidRDefault="00B851C8" w:rsidP="00B851C8">
      <w:pPr>
        <w:pStyle w:val="ListParagraph"/>
        <w:spacing w:after="160" w:line="240" w:lineRule="auto"/>
        <w:ind w:left="720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</w:t>
      </w:r>
      <w:r w:rsidR="00D65AE2">
        <w:rPr>
          <w:rFonts w:cstheme="minorHAnsi"/>
          <w:b/>
          <w:bCs/>
        </w:rPr>
        <w:t xml:space="preserve">            </w:t>
      </w:r>
      <w:r w:rsidR="00FD3CB3" w:rsidRPr="00B851C8">
        <w:rPr>
          <w:rFonts w:cstheme="minorHAnsi"/>
          <w:b/>
          <w:bCs/>
        </w:rPr>
        <w:t>(10 marks)</w:t>
      </w:r>
    </w:p>
    <w:p w14:paraId="60E29FDC" w14:textId="77777777" w:rsidR="00B851C8" w:rsidRDefault="00B851C8" w:rsidP="00B851C8">
      <w:pPr>
        <w:pStyle w:val="ListParagraph"/>
        <w:spacing w:after="160" w:line="240" w:lineRule="auto"/>
        <w:jc w:val="both"/>
        <w:rPr>
          <w:rFonts w:cstheme="minorHAnsi"/>
        </w:rPr>
      </w:pPr>
    </w:p>
    <w:p w14:paraId="152F8DCA" w14:textId="65C25F98" w:rsidR="00FD3CB3" w:rsidRDefault="00FD3CB3" w:rsidP="00FD3CB3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cstheme="minorHAnsi"/>
        </w:rPr>
      </w:pPr>
      <w:r w:rsidRPr="00FD3CB3">
        <w:rPr>
          <w:rFonts w:cstheme="minorHAnsi"/>
        </w:rPr>
        <w:t>Is the distributor claim of lower margin compared to the retailer justified and what would you do about it? Solve the issue based on the case facts</w:t>
      </w:r>
      <w:r w:rsidR="00B851C8">
        <w:rPr>
          <w:rFonts w:cstheme="minorHAnsi"/>
        </w:rPr>
        <w:t>.</w:t>
      </w:r>
      <w:r w:rsidRPr="00FD3CB3">
        <w:rPr>
          <w:rFonts w:cstheme="minorHAnsi"/>
        </w:rPr>
        <w:t xml:space="preserve"> </w:t>
      </w:r>
      <w:r w:rsidR="00B851C8">
        <w:rPr>
          <w:rFonts w:cstheme="minorHAnsi"/>
        </w:rPr>
        <w:tab/>
      </w:r>
      <w:r w:rsidR="00B851C8">
        <w:rPr>
          <w:rFonts w:cstheme="minorHAnsi"/>
        </w:rPr>
        <w:tab/>
      </w:r>
      <w:r w:rsidR="00B851C8">
        <w:rPr>
          <w:rFonts w:cstheme="minorHAnsi"/>
        </w:rPr>
        <w:tab/>
        <w:t xml:space="preserve">            </w:t>
      </w:r>
      <w:r w:rsidR="00D65AE2">
        <w:rPr>
          <w:rFonts w:cstheme="minorHAnsi"/>
        </w:rPr>
        <w:t xml:space="preserve">          </w:t>
      </w:r>
      <w:r w:rsidRPr="00B851C8">
        <w:rPr>
          <w:rFonts w:cstheme="minorHAnsi"/>
          <w:b/>
          <w:bCs/>
        </w:rPr>
        <w:t>(5 marks)</w:t>
      </w:r>
    </w:p>
    <w:p w14:paraId="4B464194" w14:textId="77777777" w:rsidR="00B851C8" w:rsidRPr="00FD3CB3" w:rsidRDefault="00B851C8" w:rsidP="00B851C8">
      <w:pPr>
        <w:pStyle w:val="ListParagraph"/>
        <w:spacing w:after="160" w:line="240" w:lineRule="auto"/>
        <w:jc w:val="both"/>
        <w:rPr>
          <w:rFonts w:cstheme="minorHAnsi"/>
        </w:rPr>
      </w:pPr>
    </w:p>
    <w:p w14:paraId="5C5F4CC2" w14:textId="7F2A2541" w:rsidR="00FD3CB3" w:rsidRDefault="00FD3CB3" w:rsidP="00FD3CB3">
      <w:pPr>
        <w:pStyle w:val="ListParagraph"/>
        <w:numPr>
          <w:ilvl w:val="0"/>
          <w:numId w:val="6"/>
        </w:numPr>
        <w:spacing w:after="160" w:line="240" w:lineRule="auto"/>
        <w:jc w:val="both"/>
        <w:rPr>
          <w:rFonts w:cstheme="minorHAnsi"/>
        </w:rPr>
      </w:pPr>
      <w:r w:rsidRPr="00FD3CB3">
        <w:rPr>
          <w:rFonts w:cstheme="minorHAnsi"/>
        </w:rPr>
        <w:t>Construct a plan to overcome the ‘grey market’ issues created by modern trade that would help distributors ensure all retail supplies</w:t>
      </w:r>
      <w:r w:rsidR="00B851C8">
        <w:rPr>
          <w:rFonts w:cstheme="minorHAnsi"/>
        </w:rPr>
        <w:t>.</w:t>
      </w:r>
      <w:r w:rsidRPr="00FD3CB3">
        <w:rPr>
          <w:rFonts w:cstheme="minorHAnsi"/>
        </w:rPr>
        <w:t xml:space="preserve"> </w:t>
      </w:r>
      <w:r w:rsidR="00B851C8">
        <w:rPr>
          <w:rFonts w:cstheme="minorHAnsi"/>
        </w:rPr>
        <w:tab/>
      </w:r>
      <w:r w:rsidR="00B851C8">
        <w:rPr>
          <w:rFonts w:cstheme="minorHAnsi"/>
        </w:rPr>
        <w:tab/>
      </w:r>
      <w:r w:rsidR="00B851C8">
        <w:rPr>
          <w:rFonts w:cstheme="minorHAnsi"/>
        </w:rPr>
        <w:tab/>
      </w:r>
      <w:r w:rsidR="00B851C8">
        <w:rPr>
          <w:rFonts w:cstheme="minorHAnsi"/>
        </w:rPr>
        <w:tab/>
      </w:r>
      <w:r w:rsidR="00B851C8">
        <w:rPr>
          <w:rFonts w:cstheme="minorHAnsi"/>
        </w:rPr>
        <w:tab/>
        <w:t xml:space="preserve">            </w:t>
      </w:r>
      <w:r w:rsidR="00777864">
        <w:rPr>
          <w:rFonts w:cstheme="minorHAnsi"/>
        </w:rPr>
        <w:t xml:space="preserve">          </w:t>
      </w:r>
      <w:r w:rsidRPr="00B851C8">
        <w:rPr>
          <w:rFonts w:cstheme="minorHAnsi"/>
          <w:b/>
          <w:bCs/>
        </w:rPr>
        <w:t>(5 marks)</w:t>
      </w:r>
    </w:p>
    <w:p w14:paraId="45F42B94" w14:textId="77777777" w:rsidR="00B851C8" w:rsidRPr="00B851C8" w:rsidRDefault="00B851C8" w:rsidP="00B851C8">
      <w:pPr>
        <w:pStyle w:val="ListParagraph"/>
        <w:rPr>
          <w:rFonts w:cstheme="minorHAnsi"/>
        </w:rPr>
      </w:pPr>
    </w:p>
    <w:p w14:paraId="227D8F6E" w14:textId="77777777" w:rsidR="00B851C8" w:rsidRPr="00FD3CB3" w:rsidRDefault="00B851C8" w:rsidP="00B851C8">
      <w:pPr>
        <w:pStyle w:val="ListParagraph"/>
        <w:spacing w:after="160" w:line="240" w:lineRule="auto"/>
        <w:jc w:val="both"/>
        <w:rPr>
          <w:rFonts w:cstheme="minorHAnsi"/>
        </w:rPr>
      </w:pPr>
    </w:p>
    <w:p w14:paraId="1B702ED1" w14:textId="77777777" w:rsidR="00B851C8" w:rsidRDefault="00FD3CB3" w:rsidP="004D2C4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D3CB3">
        <w:rPr>
          <w:rFonts w:cstheme="minorHAnsi"/>
        </w:rPr>
        <w:t>Help Rajesh device a suitable strategy to help ensure participation of the distributors in implementing the ‘Display and Selling Aid campaign?’ Device at least two distinct strategies</w:t>
      </w:r>
      <w:r w:rsidR="00B851C8">
        <w:rPr>
          <w:rFonts w:cstheme="minorHAnsi"/>
        </w:rPr>
        <w:t>.</w:t>
      </w:r>
      <w:r w:rsidRPr="00FD3CB3">
        <w:rPr>
          <w:rFonts w:cstheme="minorHAnsi"/>
        </w:rPr>
        <w:t xml:space="preserve"> </w:t>
      </w:r>
    </w:p>
    <w:p w14:paraId="09CAFDE0" w14:textId="59B66ED4" w:rsidR="00FD3CB3" w:rsidRPr="00B851C8" w:rsidRDefault="00B851C8" w:rsidP="00B851C8">
      <w:pPr>
        <w:pStyle w:val="ListParagraph"/>
        <w:autoSpaceDE w:val="0"/>
        <w:autoSpaceDN w:val="0"/>
        <w:adjustRightInd w:val="0"/>
        <w:spacing w:after="0" w:line="240" w:lineRule="auto"/>
        <w:ind w:left="6480" w:firstLine="72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</w:t>
      </w:r>
      <w:r w:rsidR="00961832">
        <w:rPr>
          <w:rFonts w:cstheme="minorHAnsi"/>
          <w:b/>
          <w:bCs/>
        </w:rPr>
        <w:t xml:space="preserve">           </w:t>
      </w:r>
      <w:r w:rsidR="00FD3CB3" w:rsidRPr="00B851C8">
        <w:rPr>
          <w:rFonts w:cstheme="minorHAnsi"/>
          <w:b/>
          <w:bCs/>
        </w:rPr>
        <w:t>(10 marks)</w:t>
      </w:r>
    </w:p>
    <w:p w14:paraId="61C1B817" w14:textId="77777777" w:rsidR="00B851C8" w:rsidRDefault="00B851C8" w:rsidP="00B851C8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9C1824A" w14:textId="6D8DE05C" w:rsidR="0091524B" w:rsidRPr="00FD3CB3" w:rsidRDefault="00FD3CB3" w:rsidP="004D2C4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D3CB3">
        <w:rPr>
          <w:rFonts w:cstheme="minorHAnsi"/>
        </w:rPr>
        <w:t>Devise strategies to handle changes in the environmental factors affecting DCM in FMCG industry. Provide 5 changes in the environment and how the marketers can handle the change by adapting their channel</w:t>
      </w:r>
      <w:r>
        <w:rPr>
          <w:rFonts w:cstheme="minorHAnsi"/>
        </w:rPr>
        <w:t xml:space="preserve"> design</w:t>
      </w:r>
      <w:r w:rsidRPr="00FD3CB3">
        <w:rPr>
          <w:rFonts w:cstheme="minorHAnsi"/>
        </w:rPr>
        <w:t xml:space="preserve">. </w:t>
      </w:r>
      <w:r w:rsidR="00B851C8">
        <w:rPr>
          <w:rFonts w:cstheme="minorHAnsi"/>
        </w:rPr>
        <w:tab/>
      </w:r>
      <w:r w:rsidR="00B851C8">
        <w:rPr>
          <w:rFonts w:cstheme="minorHAnsi"/>
        </w:rPr>
        <w:tab/>
      </w:r>
      <w:r w:rsidR="00B851C8">
        <w:rPr>
          <w:rFonts w:cstheme="minorHAnsi"/>
        </w:rPr>
        <w:tab/>
      </w:r>
      <w:r w:rsidR="00B851C8">
        <w:rPr>
          <w:rFonts w:cstheme="minorHAnsi"/>
        </w:rPr>
        <w:tab/>
      </w:r>
      <w:r w:rsidR="00B851C8">
        <w:rPr>
          <w:rFonts w:cstheme="minorHAnsi"/>
        </w:rPr>
        <w:tab/>
        <w:t xml:space="preserve">          </w:t>
      </w:r>
      <w:r w:rsidR="00451C6F">
        <w:rPr>
          <w:rFonts w:cstheme="minorHAnsi"/>
        </w:rPr>
        <w:t xml:space="preserve">          </w:t>
      </w:r>
      <w:r w:rsidRPr="00B851C8">
        <w:rPr>
          <w:rFonts w:cstheme="minorHAnsi"/>
          <w:b/>
          <w:bCs/>
        </w:rPr>
        <w:t>(10 marks)</w:t>
      </w:r>
    </w:p>
    <w:p w14:paraId="163009E9" w14:textId="77777777" w:rsidR="00956BDE" w:rsidRDefault="00956BDE" w:rsidP="00FD3CB3">
      <w:pPr>
        <w:spacing w:line="240" w:lineRule="auto"/>
      </w:pPr>
    </w:p>
    <w:sectPr w:rsidR="00956BDE" w:rsidSect="009F5BC0">
      <w:headerReference w:type="default" r:id="rId9"/>
      <w:footerReference w:type="default" r:id="rId10"/>
      <w:pgSz w:w="11906" w:h="16838" w:code="9"/>
      <w:pgMar w:top="1440" w:right="1361" w:bottom="1440" w:left="1361" w:header="720" w:footer="3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0CC0F" w14:textId="77777777" w:rsidR="00640DFE" w:rsidRDefault="00640DFE" w:rsidP="00565F93">
      <w:pPr>
        <w:spacing w:after="0" w:line="240" w:lineRule="auto"/>
      </w:pPr>
      <w:r>
        <w:separator/>
      </w:r>
    </w:p>
  </w:endnote>
  <w:endnote w:type="continuationSeparator" w:id="0">
    <w:p w14:paraId="5CB64EE9" w14:textId="77777777" w:rsidR="00640DFE" w:rsidRDefault="00640DFE" w:rsidP="00565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1198048311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637105701"/>
          <w:docPartObj>
            <w:docPartGallery w:val="Page Numbers (Top of Page)"/>
            <w:docPartUnique/>
          </w:docPartObj>
        </w:sdtPr>
        <w:sdtContent>
          <w:p w14:paraId="37A79735" w14:textId="77777777" w:rsidR="00BB291F" w:rsidRPr="00BB291F" w:rsidRDefault="00BB291F">
            <w:pPr>
              <w:pStyle w:val="Footer"/>
              <w:jc w:val="right"/>
              <w:rPr>
                <w:sz w:val="20"/>
              </w:rPr>
            </w:pPr>
            <w:r w:rsidRPr="00BB291F">
              <w:rPr>
                <w:sz w:val="20"/>
              </w:rPr>
              <w:t xml:space="preserve">Page </w:t>
            </w:r>
            <w:r w:rsidRPr="00BB291F">
              <w:rPr>
                <w:b/>
                <w:bCs/>
                <w:szCs w:val="24"/>
              </w:rPr>
              <w:fldChar w:fldCharType="begin"/>
            </w:r>
            <w:r w:rsidRPr="00BB291F">
              <w:rPr>
                <w:b/>
                <w:bCs/>
                <w:sz w:val="20"/>
              </w:rPr>
              <w:instrText xml:space="preserve"> PAGE </w:instrText>
            </w:r>
            <w:r w:rsidRPr="00BB291F">
              <w:rPr>
                <w:b/>
                <w:bCs/>
                <w:szCs w:val="24"/>
              </w:rPr>
              <w:fldChar w:fldCharType="separate"/>
            </w:r>
            <w:r w:rsidR="001233BE">
              <w:rPr>
                <w:b/>
                <w:bCs/>
                <w:noProof/>
                <w:sz w:val="20"/>
              </w:rPr>
              <w:t>1</w:t>
            </w:r>
            <w:r w:rsidRPr="00BB291F">
              <w:rPr>
                <w:b/>
                <w:bCs/>
                <w:szCs w:val="24"/>
              </w:rPr>
              <w:fldChar w:fldCharType="end"/>
            </w:r>
            <w:r w:rsidRPr="00BB291F">
              <w:rPr>
                <w:sz w:val="20"/>
              </w:rPr>
              <w:t xml:space="preserve"> of </w:t>
            </w:r>
            <w:r w:rsidRPr="00BB291F">
              <w:rPr>
                <w:b/>
                <w:bCs/>
                <w:szCs w:val="24"/>
              </w:rPr>
              <w:fldChar w:fldCharType="begin"/>
            </w:r>
            <w:r w:rsidRPr="00BB291F">
              <w:rPr>
                <w:b/>
                <w:bCs/>
                <w:sz w:val="20"/>
              </w:rPr>
              <w:instrText xml:space="preserve"> NUMPAGES  </w:instrText>
            </w:r>
            <w:r w:rsidRPr="00BB291F">
              <w:rPr>
                <w:b/>
                <w:bCs/>
                <w:szCs w:val="24"/>
              </w:rPr>
              <w:fldChar w:fldCharType="separate"/>
            </w:r>
            <w:r w:rsidR="001233BE">
              <w:rPr>
                <w:b/>
                <w:bCs/>
                <w:noProof/>
                <w:sz w:val="20"/>
              </w:rPr>
              <w:t>1</w:t>
            </w:r>
            <w:r w:rsidRPr="00BB291F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360966F" w14:textId="77777777" w:rsidR="00565F93" w:rsidRDefault="00565F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495A7" w14:textId="77777777" w:rsidR="00640DFE" w:rsidRDefault="00640DFE" w:rsidP="00565F93">
      <w:pPr>
        <w:spacing w:after="0" w:line="240" w:lineRule="auto"/>
      </w:pPr>
      <w:r>
        <w:separator/>
      </w:r>
    </w:p>
  </w:footnote>
  <w:footnote w:type="continuationSeparator" w:id="0">
    <w:p w14:paraId="2D31ACF2" w14:textId="77777777" w:rsidR="00640DFE" w:rsidRDefault="00640DFE" w:rsidP="00565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939A0" w14:textId="77777777" w:rsidR="00BB291F" w:rsidRDefault="00BB291F" w:rsidP="00BB291F">
    <w:pPr>
      <w:pStyle w:val="Header"/>
    </w:pPr>
    <w:r>
      <w:t xml:space="preserve">                                                                                                                                                 </w:t>
    </w:r>
  </w:p>
  <w:p w14:paraId="7E94855D" w14:textId="77777777" w:rsidR="00BB291F" w:rsidRPr="00903A58" w:rsidRDefault="00BB291F" w:rsidP="00BB291F">
    <w:pPr>
      <w:pStyle w:val="Header"/>
      <w:rPr>
        <w:i/>
        <w:sz w:val="24"/>
      </w:rPr>
    </w:pPr>
    <w:r w:rsidRPr="00BB291F">
      <w:rPr>
        <w:i/>
        <w:sz w:val="24"/>
      </w:rPr>
      <w:t xml:space="preserve">                                                                                                                      </w:t>
    </w:r>
    <w:r w:rsidR="00903A58">
      <w:rPr>
        <w:i/>
        <w:sz w:val="24"/>
      </w:rPr>
      <w:t xml:space="preserve">             </w:t>
    </w:r>
    <w:r w:rsidR="009F5BC0">
      <w:rPr>
        <w:i/>
        <w:sz w:val="24"/>
      </w:rPr>
      <w:t xml:space="preserve">  </w:t>
    </w:r>
    <w:r w:rsidRPr="001607CB">
      <w:rPr>
        <w:b/>
        <w:i/>
        <w:sz w:val="24"/>
      </w:rPr>
      <w:t>Roll No:</w:t>
    </w:r>
    <w:r w:rsidRPr="00903A58">
      <w:rPr>
        <w:i/>
        <w:sz w:val="24"/>
      </w:rPr>
      <w:t xml:space="preserve"> </w:t>
    </w:r>
    <w:r w:rsidR="00903A58" w:rsidRPr="00903A58">
      <w:rPr>
        <w:i/>
        <w:sz w:val="24"/>
      </w:rPr>
      <w:t>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43902"/>
    <w:multiLevelType w:val="hybridMultilevel"/>
    <w:tmpl w:val="901031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34C5A"/>
    <w:multiLevelType w:val="hybridMultilevel"/>
    <w:tmpl w:val="EED63B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E69D6"/>
    <w:multiLevelType w:val="hybridMultilevel"/>
    <w:tmpl w:val="E57A1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F31AD9"/>
    <w:multiLevelType w:val="hybridMultilevel"/>
    <w:tmpl w:val="EED63B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13A13"/>
    <w:multiLevelType w:val="hybridMultilevel"/>
    <w:tmpl w:val="0240BDD8"/>
    <w:lvl w:ilvl="0" w:tplc="AD0A0E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2271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7232106">
    <w:abstractNumId w:val="0"/>
  </w:num>
  <w:num w:numId="3" w16cid:durableId="487358123">
    <w:abstractNumId w:val="2"/>
  </w:num>
  <w:num w:numId="4" w16cid:durableId="16067628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4379029">
    <w:abstractNumId w:val="3"/>
  </w:num>
  <w:num w:numId="6" w16cid:durableId="18266291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D92"/>
    <w:rsid w:val="00000F8C"/>
    <w:rsid w:val="000022E7"/>
    <w:rsid w:val="0002360C"/>
    <w:rsid w:val="00031DE4"/>
    <w:rsid w:val="0003263B"/>
    <w:rsid w:val="00050E8E"/>
    <w:rsid w:val="000C6F0D"/>
    <w:rsid w:val="000E546F"/>
    <w:rsid w:val="001112C3"/>
    <w:rsid w:val="001233BE"/>
    <w:rsid w:val="00147366"/>
    <w:rsid w:val="001607CB"/>
    <w:rsid w:val="001E2EBC"/>
    <w:rsid w:val="00255763"/>
    <w:rsid w:val="00286635"/>
    <w:rsid w:val="002969DB"/>
    <w:rsid w:val="002C2157"/>
    <w:rsid w:val="0035360D"/>
    <w:rsid w:val="003712A3"/>
    <w:rsid w:val="00394D92"/>
    <w:rsid w:val="003D5570"/>
    <w:rsid w:val="004031BE"/>
    <w:rsid w:val="004058EE"/>
    <w:rsid w:val="00451C6F"/>
    <w:rsid w:val="00463CD5"/>
    <w:rsid w:val="00470A63"/>
    <w:rsid w:val="004817D9"/>
    <w:rsid w:val="004F3CB4"/>
    <w:rsid w:val="005544AB"/>
    <w:rsid w:val="00565F93"/>
    <w:rsid w:val="00640DFE"/>
    <w:rsid w:val="00664978"/>
    <w:rsid w:val="006B3EC8"/>
    <w:rsid w:val="0070146B"/>
    <w:rsid w:val="00761327"/>
    <w:rsid w:val="00777864"/>
    <w:rsid w:val="00894A9E"/>
    <w:rsid w:val="008E31D1"/>
    <w:rsid w:val="009012A2"/>
    <w:rsid w:val="00903A58"/>
    <w:rsid w:val="0091524B"/>
    <w:rsid w:val="00921E9B"/>
    <w:rsid w:val="009231A7"/>
    <w:rsid w:val="00923DCD"/>
    <w:rsid w:val="00943702"/>
    <w:rsid w:val="00956BDE"/>
    <w:rsid w:val="00956E30"/>
    <w:rsid w:val="00961832"/>
    <w:rsid w:val="009B048D"/>
    <w:rsid w:val="009B2D17"/>
    <w:rsid w:val="009D3063"/>
    <w:rsid w:val="009E38F9"/>
    <w:rsid w:val="009F5BC0"/>
    <w:rsid w:val="00A964EE"/>
    <w:rsid w:val="00AA0EE8"/>
    <w:rsid w:val="00AA3674"/>
    <w:rsid w:val="00AF7654"/>
    <w:rsid w:val="00B44A19"/>
    <w:rsid w:val="00B54346"/>
    <w:rsid w:val="00B67407"/>
    <w:rsid w:val="00B71AD9"/>
    <w:rsid w:val="00B851C8"/>
    <w:rsid w:val="00BB291F"/>
    <w:rsid w:val="00BD34FB"/>
    <w:rsid w:val="00C52051"/>
    <w:rsid w:val="00C92014"/>
    <w:rsid w:val="00CF0EF1"/>
    <w:rsid w:val="00D63CBF"/>
    <w:rsid w:val="00D65AE2"/>
    <w:rsid w:val="00DD234B"/>
    <w:rsid w:val="00E0384F"/>
    <w:rsid w:val="00E16D71"/>
    <w:rsid w:val="00E61C02"/>
    <w:rsid w:val="00EE7B7F"/>
    <w:rsid w:val="00F2160A"/>
    <w:rsid w:val="00F60963"/>
    <w:rsid w:val="00FD3CB3"/>
    <w:rsid w:val="00FD616D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BFBC2D"/>
  <w15:chartTrackingRefBased/>
  <w15:docId w15:val="{43D8EDD5-6C72-4AFA-BEDE-24DC42E19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C0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C02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E61C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5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F93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65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F93"/>
    <w:rPr>
      <w:rFonts w:eastAsiaTheme="minorEastAsia"/>
    </w:rPr>
  </w:style>
  <w:style w:type="table" w:styleId="TableGrid">
    <w:name w:val="Table Grid"/>
    <w:basedOn w:val="TableNormal"/>
    <w:uiPriority w:val="39"/>
    <w:rsid w:val="00BB2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OCNL">
    <w:name w:val="EOC/NL"/>
    <w:rsid w:val="003D5570"/>
    <w:pPr>
      <w:tabs>
        <w:tab w:val="left" w:pos="320"/>
      </w:tabs>
      <w:spacing w:before="250" w:after="0" w:line="230" w:lineRule="exact"/>
      <w:jc w:val="both"/>
    </w:pPr>
    <w:rPr>
      <w:rFonts w:ascii="Bembo" w:eastAsia="Times New Roman" w:hAnsi="Bembo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79EA1-DB27-4224-99D9-52CF8DA5D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685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Praveen Soni</cp:lastModifiedBy>
  <cp:revision>64</cp:revision>
  <dcterms:created xsi:type="dcterms:W3CDTF">2022-10-18T07:56:00Z</dcterms:created>
  <dcterms:modified xsi:type="dcterms:W3CDTF">2025-10-04T06:45:00Z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22061abf62806b6fdc1a9cfe7fcd5ed4a3eeefe12ed7af307e3f5879ffe66430</vt:lpwstr>
  </property>
</Properties>
</file>