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61" w:type="pct"/>
        <w:tblLook w:val="04A0" w:firstRow="1" w:lastRow="0" w:firstColumn="1" w:lastColumn="0" w:noHBand="0" w:noVBand="1"/>
      </w:tblPr>
      <w:tblGrid>
        <w:gridCol w:w="2783"/>
        <w:gridCol w:w="6704"/>
      </w:tblGrid>
      <w:tr w:rsidR="00126C28" w:rsidRPr="00921E9B" w14:paraId="420BE86A" w14:textId="77777777" w:rsidTr="00126C28">
        <w:trPr>
          <w:trHeight w:val="826"/>
        </w:trPr>
        <w:tc>
          <w:tcPr>
            <w:tcW w:w="1467" w:type="pct"/>
          </w:tcPr>
          <w:p w14:paraId="5D6B58D0" w14:textId="77777777" w:rsidR="00126C28" w:rsidRPr="00921E9B" w:rsidRDefault="00126C28" w:rsidP="00CF5DAF">
            <w:pPr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lang w:eastAsia="en-IN"/>
              </w:rPr>
              <w:drawing>
                <wp:inline distT="0" distB="0" distL="0" distR="0" wp14:anchorId="450A4D8A" wp14:editId="374D7D9A">
                  <wp:extent cx="1533525" cy="504825"/>
                  <wp:effectExtent l="0" t="0" r="9525" b="9525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pct"/>
          </w:tcPr>
          <w:p w14:paraId="7A3B19B9" w14:textId="13B783EE" w:rsidR="00126C28" w:rsidRPr="00921E9B" w:rsidRDefault="00126C28" w:rsidP="00CF5DAF">
            <w:pPr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JAIPURIA </w:t>
            </w:r>
            <w:r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INSTITUTE</w:t>
            </w: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OF MANAGEMENT, INDORE</w:t>
            </w:r>
          </w:p>
          <w:p w14:paraId="4856B934" w14:textId="2C105D77" w:rsidR="00126C28" w:rsidRPr="00921E9B" w:rsidRDefault="00126C28" w:rsidP="00CF5DAF">
            <w:pPr>
              <w:jc w:val="center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sz w:val="28"/>
                <w:szCs w:val="32"/>
                <w:lang w:val="en-IN"/>
              </w:rPr>
              <w:t>Post Graduate Diploma in Management</w:t>
            </w:r>
            <w:r>
              <w:rPr>
                <w:rFonts w:ascii="Calibri" w:hAnsi="Calibri" w:cs="Calibri"/>
                <w:sz w:val="28"/>
                <w:szCs w:val="32"/>
                <w:lang w:val="en-IN"/>
              </w:rPr>
              <w:t xml:space="preserve"> (</w:t>
            </w:r>
            <w:r w:rsidRPr="00C8245F">
              <w:rPr>
                <w:rFonts w:ascii="Calibri" w:hAnsi="Calibri" w:cs="Calibri"/>
                <w:sz w:val="28"/>
                <w:szCs w:val="28"/>
                <w:lang w:val="en-IN"/>
              </w:rPr>
              <w:t>Batch 202</w:t>
            </w:r>
            <w:r>
              <w:rPr>
                <w:rFonts w:ascii="Calibri" w:hAnsi="Calibri" w:cs="Calibri"/>
                <w:sz w:val="28"/>
                <w:szCs w:val="28"/>
                <w:lang w:val="en-IN"/>
              </w:rPr>
              <w:t>4</w:t>
            </w:r>
            <w:r w:rsidRPr="00C8245F">
              <w:rPr>
                <w:rFonts w:ascii="Calibri" w:hAnsi="Calibri" w:cs="Calibri"/>
                <w:sz w:val="28"/>
                <w:szCs w:val="28"/>
                <w:lang w:val="en-IN"/>
              </w:rPr>
              <w:t>-2</w:t>
            </w:r>
            <w:r>
              <w:rPr>
                <w:rFonts w:ascii="Calibri" w:hAnsi="Calibri" w:cs="Calibri"/>
                <w:sz w:val="28"/>
                <w:szCs w:val="28"/>
                <w:lang w:val="en-IN"/>
              </w:rPr>
              <w:t>6</w:t>
            </w:r>
            <w:r w:rsidRPr="00C8245F">
              <w:rPr>
                <w:rFonts w:ascii="Calibri" w:hAnsi="Calibri" w:cs="Calibri"/>
                <w:sz w:val="28"/>
                <w:szCs w:val="28"/>
                <w:lang w:val="en-IN"/>
              </w:rPr>
              <w:t>)</w:t>
            </w:r>
          </w:p>
        </w:tc>
      </w:tr>
      <w:tr w:rsidR="00126C28" w:rsidRPr="00921E9B" w14:paraId="2210FBFF" w14:textId="77777777" w:rsidTr="00126C28">
        <w:trPr>
          <w:trHeight w:val="754"/>
        </w:trPr>
        <w:tc>
          <w:tcPr>
            <w:tcW w:w="5000" w:type="pct"/>
            <w:gridSpan w:val="2"/>
          </w:tcPr>
          <w:p w14:paraId="5DE01342" w14:textId="3D2F4A83" w:rsidR="00126C28" w:rsidRPr="00921E9B" w:rsidRDefault="00126C28" w:rsidP="00CF5DAF">
            <w:pPr>
              <w:tabs>
                <w:tab w:val="left" w:pos="9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Course Title: </w:t>
            </w: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>Equity Analysis &amp; Portfolio Management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(Course Code: </w:t>
            </w: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402</w:t>
            </w:r>
            <w:r w:rsidR="003F6DFE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46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14:paraId="784FA244" w14:textId="3C6E1288" w:rsidR="00126C28" w:rsidRPr="00921E9B" w:rsidRDefault="00126C28" w:rsidP="00CF5DAF">
            <w:pPr>
              <w:tabs>
                <w:tab w:val="left" w:pos="90"/>
              </w:tabs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End Term Examination, Term - IV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(</w:t>
            </w:r>
            <w:r w:rsidR="00170C2E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October</w:t>
            </w: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,</w:t>
            </w:r>
            <w:r w:rsidR="00F37A86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202</w:t>
            </w: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5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126C28" w:rsidRPr="00921E9B" w14:paraId="1C9F14CA" w14:textId="77777777" w:rsidTr="00126C28">
        <w:trPr>
          <w:trHeight w:val="588"/>
        </w:trPr>
        <w:tc>
          <w:tcPr>
            <w:tcW w:w="5000" w:type="pct"/>
            <w:gridSpan w:val="2"/>
          </w:tcPr>
          <w:p w14:paraId="00A031B1" w14:textId="77777777" w:rsidR="00126C28" w:rsidRPr="00921E9B" w:rsidRDefault="00126C28" w:rsidP="00CF5DAF">
            <w:pPr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Time Duration: 2 Hours                                                                                          Total Marks: 40</w:t>
            </w:r>
          </w:p>
        </w:tc>
      </w:tr>
    </w:tbl>
    <w:p w14:paraId="1DED59C9" w14:textId="77777777" w:rsidR="00126C28" w:rsidRDefault="00126C28" w:rsidP="00126C28">
      <w:pPr>
        <w:spacing w:after="0" w:line="240" w:lineRule="auto"/>
        <w:jc w:val="both"/>
        <w:rPr>
          <w:rFonts w:ascii="Calibri" w:hAnsi="Calibri" w:cs="Calibri"/>
          <w:b/>
          <w:i/>
          <w:iCs/>
          <w:sz w:val="14"/>
        </w:rPr>
      </w:pPr>
    </w:p>
    <w:p w14:paraId="359A2F2D" w14:textId="77777777" w:rsidR="00126C28" w:rsidRDefault="00126C28" w:rsidP="00126C28">
      <w:pPr>
        <w:spacing w:after="0" w:line="240" w:lineRule="auto"/>
        <w:jc w:val="both"/>
        <w:rPr>
          <w:rFonts w:ascii="Calibri" w:hAnsi="Calibri" w:cs="Calibri"/>
          <w:b/>
        </w:rPr>
      </w:pPr>
      <w:r w:rsidRPr="00921E9B">
        <w:rPr>
          <w:rFonts w:ascii="Calibri" w:hAnsi="Calibri" w:cs="Calibri"/>
          <w:b/>
          <w:i/>
          <w:iCs/>
        </w:rPr>
        <w:t>General Instructions</w:t>
      </w:r>
      <w:r w:rsidRPr="00921E9B">
        <w:rPr>
          <w:rFonts w:ascii="Calibri" w:hAnsi="Calibri" w:cs="Calibri"/>
          <w:b/>
        </w:rPr>
        <w:t>:</w:t>
      </w:r>
    </w:p>
    <w:p w14:paraId="7710A78D" w14:textId="77777777" w:rsidR="00126C28" w:rsidRPr="00921E9B" w:rsidRDefault="00126C28" w:rsidP="00126C28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4F8B86B" w14:textId="77777777" w:rsidR="00126C28" w:rsidRPr="00921E9B" w:rsidRDefault="00126C28" w:rsidP="00126C2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bCs/>
          <w:i/>
        </w:rPr>
      </w:pPr>
      <w:r w:rsidRPr="00921E9B">
        <w:rPr>
          <w:rFonts w:ascii="Calibri" w:hAnsi="Calibri" w:cs="Calibri"/>
          <w:bCs/>
          <w:i/>
        </w:rPr>
        <w:t>Answer the questions as directed. The break-up of the marks is given wherever necessary.</w:t>
      </w:r>
    </w:p>
    <w:p w14:paraId="64C7C5CC" w14:textId="77777777" w:rsidR="00126C28" w:rsidRPr="00921E9B" w:rsidRDefault="00126C28" w:rsidP="00126C2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bCs/>
          <w:i/>
        </w:rPr>
      </w:pPr>
      <w:r w:rsidRPr="00921E9B">
        <w:rPr>
          <w:rFonts w:ascii="Calibri" w:hAnsi="Calibri" w:cs="Calibri"/>
          <w:bCs/>
          <w:i/>
        </w:rPr>
        <w:t xml:space="preserve">Marks against each question </w:t>
      </w:r>
      <w:r>
        <w:rPr>
          <w:rFonts w:ascii="Calibri" w:hAnsi="Calibri" w:cs="Calibri"/>
          <w:bCs/>
          <w:i/>
        </w:rPr>
        <w:t>are</w:t>
      </w:r>
      <w:r w:rsidRPr="00921E9B">
        <w:rPr>
          <w:rFonts w:ascii="Calibri" w:hAnsi="Calibri" w:cs="Calibri"/>
          <w:bCs/>
          <w:i/>
        </w:rPr>
        <w:t xml:space="preserve"> indicated to its right.</w:t>
      </w:r>
    </w:p>
    <w:p w14:paraId="5EFC16A6" w14:textId="77777777" w:rsidR="00126C28" w:rsidRPr="00921E9B" w:rsidRDefault="00126C28" w:rsidP="00126C2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bCs/>
          <w:i/>
        </w:rPr>
      </w:pPr>
      <w:r w:rsidRPr="00921E9B">
        <w:rPr>
          <w:rFonts w:ascii="Calibri" w:hAnsi="Calibri" w:cs="Calibri"/>
          <w:bCs/>
          <w:i/>
        </w:rPr>
        <w:t xml:space="preserve">Answer all the questions of a ‘Section/Question’ </w:t>
      </w:r>
      <w:r>
        <w:rPr>
          <w:rFonts w:ascii="Calibri" w:hAnsi="Calibri" w:cs="Calibri"/>
          <w:bCs/>
          <w:i/>
        </w:rPr>
        <w:t>in</w:t>
      </w:r>
      <w:r w:rsidRPr="00921E9B">
        <w:rPr>
          <w:rFonts w:ascii="Calibri" w:hAnsi="Calibri" w:cs="Calibri"/>
          <w:bCs/>
          <w:i/>
        </w:rPr>
        <w:t xml:space="preserve"> one place in continuation.</w:t>
      </w:r>
    </w:p>
    <w:p w14:paraId="07FDBB98" w14:textId="77777777" w:rsidR="00126C28" w:rsidRPr="00921E9B" w:rsidRDefault="00126C28" w:rsidP="00126C28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bCs/>
          <w:i/>
        </w:rPr>
      </w:pPr>
      <w:r w:rsidRPr="00921E9B">
        <w:rPr>
          <w:rFonts w:ascii="Calibri" w:hAnsi="Calibri" w:cs="Calibri"/>
          <w:bCs/>
          <w:i/>
        </w:rPr>
        <w:t xml:space="preserve">Answers should be brief and to the point. </w:t>
      </w:r>
      <w:r>
        <w:rPr>
          <w:rFonts w:ascii="Calibri" w:hAnsi="Calibri" w:cs="Calibri"/>
          <w:bCs/>
          <w:i/>
        </w:rPr>
        <w:t>Cite examples wherever required.</w:t>
      </w:r>
    </w:p>
    <w:p w14:paraId="2C126F2A" w14:textId="77777777" w:rsidR="00126C28" w:rsidRDefault="00126C28" w:rsidP="00126C28">
      <w:pPr>
        <w:pStyle w:val="ListParagraph"/>
        <w:numPr>
          <w:ilvl w:val="0"/>
          <w:numId w:val="25"/>
        </w:numPr>
        <w:pBdr>
          <w:bottom w:val="single" w:sz="6" w:space="10" w:color="auto"/>
        </w:pBdr>
        <w:spacing w:after="0" w:line="276" w:lineRule="auto"/>
        <w:jc w:val="both"/>
        <w:rPr>
          <w:rFonts w:ascii="Calibri" w:hAnsi="Calibri" w:cs="Calibri"/>
          <w:bCs/>
          <w:i/>
        </w:rPr>
      </w:pPr>
      <w:r w:rsidRPr="00921E9B">
        <w:rPr>
          <w:rFonts w:ascii="Calibri" w:hAnsi="Calibri" w:cs="Calibri"/>
          <w:bCs/>
          <w:i/>
        </w:rPr>
        <w:t xml:space="preserve">Do not write </w:t>
      </w:r>
      <w:r>
        <w:rPr>
          <w:rFonts w:ascii="Calibri" w:hAnsi="Calibri" w:cs="Calibri"/>
          <w:bCs/>
          <w:i/>
        </w:rPr>
        <w:t xml:space="preserve">anything </w:t>
      </w:r>
      <w:r w:rsidRPr="00921E9B">
        <w:rPr>
          <w:rFonts w:ascii="Calibri" w:hAnsi="Calibri" w:cs="Calibri"/>
          <w:bCs/>
          <w:i/>
        </w:rPr>
        <w:t>on the question paper except your roll number.</w:t>
      </w:r>
    </w:p>
    <w:p w14:paraId="5A3F79E5" w14:textId="5FFE0E62" w:rsidR="00126C28" w:rsidRDefault="00126C28" w:rsidP="00126C28">
      <w:pPr>
        <w:pStyle w:val="ListParagraph"/>
        <w:numPr>
          <w:ilvl w:val="0"/>
          <w:numId w:val="25"/>
        </w:numPr>
        <w:pBdr>
          <w:bottom w:val="single" w:sz="6" w:space="10" w:color="auto"/>
        </w:pBdr>
        <w:spacing w:after="0" w:line="276" w:lineRule="auto"/>
        <w:jc w:val="both"/>
        <w:rPr>
          <w:rFonts w:ascii="Calibri" w:hAnsi="Calibri" w:cs="Calibri"/>
          <w:bCs/>
          <w:i/>
        </w:rPr>
      </w:pPr>
      <w:r w:rsidRPr="001D692C">
        <w:rPr>
          <w:rFonts w:ascii="Calibri" w:hAnsi="Calibri" w:cs="Calibri"/>
          <w:bCs/>
          <w:i/>
        </w:rPr>
        <w:t>You can use any scientific/financial calculators</w:t>
      </w:r>
      <w:r w:rsidR="008961BD">
        <w:rPr>
          <w:rFonts w:ascii="Calibri" w:hAnsi="Calibri" w:cs="Calibri"/>
          <w:bCs/>
          <w:i/>
        </w:rPr>
        <w:t>.</w:t>
      </w:r>
    </w:p>
    <w:p w14:paraId="6DD5C61B" w14:textId="6DA8E004" w:rsidR="008961BD" w:rsidRPr="001D692C" w:rsidRDefault="008961BD" w:rsidP="00126C28">
      <w:pPr>
        <w:pStyle w:val="ListParagraph"/>
        <w:numPr>
          <w:ilvl w:val="0"/>
          <w:numId w:val="25"/>
        </w:numPr>
        <w:pBdr>
          <w:bottom w:val="single" w:sz="6" w:space="10" w:color="auto"/>
        </w:pBdr>
        <w:spacing w:after="0" w:line="276" w:lineRule="auto"/>
        <w:jc w:val="both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>MS Excel is not required to do calculations.</w:t>
      </w:r>
    </w:p>
    <w:p w14:paraId="7B953AE0" w14:textId="1345A5BC" w:rsidR="00126C28" w:rsidRPr="00921E9B" w:rsidRDefault="00126C28" w:rsidP="00126C28">
      <w:pPr>
        <w:pStyle w:val="ListParagraph"/>
        <w:numPr>
          <w:ilvl w:val="0"/>
          <w:numId w:val="25"/>
        </w:numPr>
        <w:pBdr>
          <w:bottom w:val="single" w:sz="6" w:space="10" w:color="auto"/>
        </w:pBdr>
        <w:spacing w:after="0" w:line="276" w:lineRule="auto"/>
        <w:jc w:val="both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It is </w:t>
      </w:r>
      <w:r w:rsidRPr="00126C28">
        <w:rPr>
          <w:rFonts w:ascii="Calibri" w:hAnsi="Calibri" w:cs="Calibri"/>
          <w:i/>
        </w:rPr>
        <w:t>a</w:t>
      </w:r>
      <w:r w:rsidRPr="007A1902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  <w:i/>
        </w:rPr>
        <w:t>closed-book</w:t>
      </w:r>
      <w:r w:rsidRPr="007A1902">
        <w:rPr>
          <w:rFonts w:ascii="Calibri" w:hAnsi="Calibri" w:cs="Calibri"/>
          <w:b/>
          <w:bCs/>
          <w:i/>
        </w:rPr>
        <w:t xml:space="preserve"> exam</w:t>
      </w:r>
    </w:p>
    <w:p w14:paraId="2700A0F5" w14:textId="77777777" w:rsidR="00126C28" w:rsidRDefault="00126C28" w:rsidP="00126C28">
      <w:pPr>
        <w:spacing w:after="0"/>
        <w:rPr>
          <w:rFonts w:ascii="Calibri" w:eastAsia="Times New Roman" w:hAnsi="Calibri" w:cs="Calibri"/>
          <w:b/>
        </w:rPr>
      </w:pPr>
    </w:p>
    <w:p w14:paraId="5DC7026F" w14:textId="613AE1B3" w:rsidR="00126C28" w:rsidRPr="00404038" w:rsidRDefault="008E091F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3F6DFE">
        <w:rPr>
          <w:rFonts w:ascii="Times New Roman" w:eastAsia="Times New Roman" w:hAnsi="Times New Roman" w:cs="Times New Roman"/>
        </w:rPr>
        <w:t xml:space="preserve">Q1. </w:t>
      </w:r>
      <w:r w:rsidR="003F6DFE">
        <w:rPr>
          <w:rFonts w:ascii="Times New Roman" w:eastAsia="Times New Roman" w:hAnsi="Times New Roman" w:cs="Times New Roman"/>
        </w:rPr>
        <w:t>A</w:t>
      </w:r>
      <w:r w:rsidRPr="00404038">
        <w:rPr>
          <w:rFonts w:ascii="Times New Roman" w:eastAsia="Times New Roman" w:hAnsi="Times New Roman" w:cs="Times New Roman"/>
        </w:rPr>
        <w:t xml:space="preserve"> company has a beta of 1.1. The risk-free rate is 5.6% and the equity risk premium is 6%. The current dividend of $2.00 is expected to grow at </w:t>
      </w:r>
      <w:r w:rsidR="00404038" w:rsidRPr="00404038">
        <w:rPr>
          <w:rFonts w:ascii="Times New Roman" w:eastAsia="Times New Roman" w:hAnsi="Times New Roman" w:cs="Times New Roman"/>
        </w:rPr>
        <w:t xml:space="preserve">a rate of </w:t>
      </w:r>
      <w:r w:rsidRPr="00404038">
        <w:rPr>
          <w:rFonts w:ascii="Times New Roman" w:eastAsia="Times New Roman" w:hAnsi="Times New Roman" w:cs="Times New Roman"/>
        </w:rPr>
        <w:t xml:space="preserve">5% indefinitely. The </w:t>
      </w:r>
      <w:r w:rsidR="00404038" w:rsidRPr="00404038">
        <w:rPr>
          <w:rFonts w:ascii="Times New Roman" w:eastAsia="Times New Roman" w:hAnsi="Times New Roman" w:cs="Times New Roman"/>
        </w:rPr>
        <w:t xml:space="preserve">stock price </w:t>
      </w:r>
      <w:r w:rsidRPr="00404038">
        <w:rPr>
          <w:rFonts w:ascii="Times New Roman" w:eastAsia="Times New Roman" w:hAnsi="Times New Roman" w:cs="Times New Roman"/>
        </w:rPr>
        <w:t>is $40.</w:t>
      </w:r>
    </w:p>
    <w:p w14:paraId="563CA88A" w14:textId="492C0AB0" w:rsidR="008E091F" w:rsidRPr="00404038" w:rsidRDefault="00A06ACF" w:rsidP="00404038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Discover</w:t>
      </w:r>
      <w:r w:rsidR="008E091F" w:rsidRPr="00404038">
        <w:rPr>
          <w:rFonts w:ascii="Times New Roman" w:eastAsia="Times New Roman" w:hAnsi="Times New Roman" w:cs="Times New Roman"/>
        </w:rPr>
        <w:t xml:space="preserve"> the </w:t>
      </w:r>
      <w:r w:rsidR="003F6DFE">
        <w:rPr>
          <w:rFonts w:ascii="Times New Roman" w:eastAsia="Times New Roman" w:hAnsi="Times New Roman" w:cs="Times New Roman"/>
        </w:rPr>
        <w:t xml:space="preserve">intrinsic </w:t>
      </w:r>
      <w:r w:rsidR="008E091F" w:rsidRPr="00404038">
        <w:rPr>
          <w:rFonts w:ascii="Times New Roman" w:eastAsia="Times New Roman" w:hAnsi="Times New Roman" w:cs="Times New Roman"/>
        </w:rPr>
        <w:t xml:space="preserve">value of the company’s stock </w:t>
      </w:r>
      <w:r w:rsidR="008E091F" w:rsidRPr="00404038">
        <w:rPr>
          <w:rFonts w:ascii="Times New Roman" w:eastAsia="Times New Roman" w:hAnsi="Times New Roman" w:cs="Times New Roman"/>
          <w:i/>
          <w:iCs/>
        </w:rPr>
        <w:t>(3 marks)</w:t>
      </w:r>
    </w:p>
    <w:p w14:paraId="77C2484C" w14:textId="27BEE822" w:rsidR="008E091F" w:rsidRPr="00404038" w:rsidRDefault="00A06ACF" w:rsidP="00404038">
      <w:pPr>
        <w:pStyle w:val="ListParagraph"/>
        <w:numPr>
          <w:ilvl w:val="0"/>
          <w:numId w:val="29"/>
        </w:num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Dissect </w:t>
      </w:r>
      <w:r w:rsidR="008E091F" w:rsidRPr="00404038">
        <w:rPr>
          <w:rFonts w:ascii="Times New Roman" w:eastAsia="Times New Roman" w:hAnsi="Times New Roman" w:cs="Times New Roman"/>
        </w:rPr>
        <w:t xml:space="preserve">the dividend growth rate that would be required to justify the market price of $40. </w:t>
      </w:r>
      <w:r w:rsidR="008E091F" w:rsidRPr="00404038">
        <w:rPr>
          <w:rFonts w:ascii="Times New Roman" w:eastAsia="Times New Roman" w:hAnsi="Times New Roman" w:cs="Times New Roman"/>
          <w:i/>
          <w:iCs/>
        </w:rPr>
        <w:t>(3 Marks)</w:t>
      </w:r>
    </w:p>
    <w:p w14:paraId="46B5D177" w14:textId="62E94D9C" w:rsidR="00404038" w:rsidRDefault="00274040" w:rsidP="00404038">
      <w:pPr>
        <w:pStyle w:val="ListParagraph"/>
        <w:spacing w:after="120" w:line="360" w:lineRule="auto"/>
        <w:ind w:left="648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404038" w:rsidRPr="00404038">
        <w:rPr>
          <w:rFonts w:ascii="Times New Roman" w:eastAsia="Times New Roman" w:hAnsi="Times New Roman" w:cs="Times New Roman"/>
          <w:b/>
        </w:rPr>
        <w:t>(Marks 6)</w:t>
      </w:r>
    </w:p>
    <w:p w14:paraId="041C614B" w14:textId="61DC2057" w:rsidR="00404038" w:rsidRDefault="00404038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404038">
        <w:rPr>
          <w:rFonts w:ascii="Times New Roman" w:eastAsia="Times New Roman" w:hAnsi="Times New Roman" w:cs="Times New Roman"/>
          <w:bCs/>
        </w:rPr>
        <w:t xml:space="preserve">Q2. </w:t>
      </w:r>
      <w:r>
        <w:rPr>
          <w:rFonts w:ascii="Times New Roman" w:eastAsia="Times New Roman" w:hAnsi="Times New Roman" w:cs="Times New Roman"/>
          <w:bCs/>
        </w:rPr>
        <w:t xml:space="preserve">Shania Twain wants to use the Gordon growth used </w:t>
      </w:r>
      <w:r w:rsidR="001D692C">
        <w:rPr>
          <w:rFonts w:ascii="Times New Roman" w:eastAsia="Times New Roman" w:hAnsi="Times New Roman" w:cs="Times New Roman"/>
          <w:bCs/>
        </w:rPr>
        <w:t>in the Dividend Discount Model to find a justified P/E for the Canadian company “Enridge” (listed on the NYSE). This company transports</w:t>
      </w:r>
      <w:r w:rsidRPr="00404038">
        <w:rPr>
          <w:rFonts w:ascii="Times New Roman" w:eastAsia="Times New Roman" w:hAnsi="Times New Roman" w:cs="Times New Roman"/>
          <w:bCs/>
        </w:rPr>
        <w:t xml:space="preserve"> crude oil, natural gas, and natural gas liquids </w:t>
      </w:r>
      <w:r w:rsidR="001D692C" w:rsidRPr="00404038">
        <w:rPr>
          <w:rFonts w:ascii="Times New Roman" w:eastAsia="Times New Roman" w:hAnsi="Times New Roman" w:cs="Times New Roman"/>
          <w:bCs/>
        </w:rPr>
        <w:t>and</w:t>
      </w:r>
      <w:r w:rsidRPr="00404038">
        <w:rPr>
          <w:rFonts w:ascii="Times New Roman" w:eastAsia="Times New Roman" w:hAnsi="Times New Roman" w:cs="Times New Roman"/>
          <w:bCs/>
        </w:rPr>
        <w:t xml:space="preserve"> generates renewable energy</w:t>
      </w:r>
      <w:r>
        <w:rPr>
          <w:rFonts w:ascii="Times New Roman" w:eastAsia="Times New Roman" w:hAnsi="Times New Roman" w:cs="Times New Roman"/>
          <w:bCs/>
        </w:rPr>
        <w:t>. Twain has assembled the following information:</w:t>
      </w:r>
    </w:p>
    <w:p w14:paraId="6677052A" w14:textId="390956FC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Current Stock Price = $47.46</w:t>
      </w:r>
    </w:p>
    <w:p w14:paraId="56DBAAEC" w14:textId="158E5A5F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Annual EPS (as per the latest P/L Statement) = $3.22</w:t>
      </w:r>
    </w:p>
    <w:p w14:paraId="1F728FA9" w14:textId="50BE8AE3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Current level of annual </w:t>
      </w:r>
      <w:r w:rsidR="009B67E9">
        <w:rPr>
          <w:rFonts w:ascii="Times New Roman" w:eastAsia="Times New Roman" w:hAnsi="Times New Roman" w:cs="Times New Roman"/>
          <w:bCs/>
        </w:rPr>
        <w:t>DPS</w:t>
      </w:r>
      <w:r>
        <w:rPr>
          <w:rFonts w:ascii="Times New Roman" w:eastAsia="Times New Roman" w:hAnsi="Times New Roman" w:cs="Times New Roman"/>
          <w:bCs/>
        </w:rPr>
        <w:t xml:space="preserve"> =$1.03</w:t>
      </w:r>
    </w:p>
    <w:p w14:paraId="5B1C2B61" w14:textId="71B695A4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Dividend growth rate = 7%</w:t>
      </w:r>
    </w:p>
    <w:p w14:paraId="48364E7A" w14:textId="55D67DA1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Risk-free rate = 4.4%</w:t>
      </w:r>
    </w:p>
    <w:p w14:paraId="77E518B8" w14:textId="4304552A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Equity risk premium = 6.39%</w:t>
      </w:r>
    </w:p>
    <w:p w14:paraId="074B607F" w14:textId="67082C31" w:rsidR="001D692C" w:rsidRDefault="001D692C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Beta of Enridge: 0.72</w:t>
      </w:r>
    </w:p>
    <w:p w14:paraId="72EF051F" w14:textId="7ACF7845" w:rsidR="005C24CF" w:rsidRDefault="005C24CF" w:rsidP="00404038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Questions:</w:t>
      </w:r>
    </w:p>
    <w:p w14:paraId="2976CD37" w14:textId="7EF52006" w:rsidR="001D692C" w:rsidRPr="001D692C" w:rsidRDefault="00A06ACF" w:rsidP="001D692C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Infer</w:t>
      </w:r>
      <w:r w:rsidR="001D692C" w:rsidRPr="001D692C">
        <w:rPr>
          <w:rFonts w:ascii="Times New Roman" w:eastAsia="Times New Roman" w:hAnsi="Times New Roman" w:cs="Times New Roman"/>
        </w:rPr>
        <w:t xml:space="preserve"> the justified forward P/E based on the above data</w:t>
      </w:r>
      <w:r w:rsidR="00C93C55">
        <w:rPr>
          <w:rFonts w:ascii="Times New Roman" w:eastAsia="Times New Roman" w:hAnsi="Times New Roman" w:cs="Times New Roman"/>
        </w:rPr>
        <w:t xml:space="preserve">. </w:t>
      </w:r>
      <w:r w:rsidR="00C93C55" w:rsidRPr="00C93C55">
        <w:rPr>
          <w:rFonts w:ascii="Times New Roman" w:eastAsia="Times New Roman" w:hAnsi="Times New Roman" w:cs="Times New Roman"/>
          <w:i/>
          <w:iCs/>
        </w:rPr>
        <w:t>(3 Marks)</w:t>
      </w:r>
    </w:p>
    <w:p w14:paraId="55ABFCA1" w14:textId="2D3DD3F9" w:rsidR="00FF6A24" w:rsidRPr="00FF6A24" w:rsidRDefault="00FF6A24" w:rsidP="001D692C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Compare</w:t>
      </w:r>
      <w:r w:rsidR="00D4601E">
        <w:rPr>
          <w:rFonts w:ascii="Times New Roman" w:eastAsia="Times New Roman" w:hAnsi="Times New Roman" w:cs="Times New Roman"/>
        </w:rPr>
        <w:t xml:space="preserve"> </w:t>
      </w:r>
      <w:r w:rsidR="001D692C" w:rsidRPr="001D692C">
        <w:rPr>
          <w:rFonts w:ascii="Times New Roman" w:eastAsia="Times New Roman" w:hAnsi="Times New Roman" w:cs="Times New Roman"/>
        </w:rPr>
        <w:t>whether “Enridge” is fairly valued, undervalued or overvalued</w:t>
      </w:r>
      <w:r>
        <w:rPr>
          <w:rFonts w:ascii="Times New Roman" w:eastAsia="Times New Roman" w:hAnsi="Times New Roman" w:cs="Times New Roman"/>
        </w:rPr>
        <w:t xml:space="preserve"> based on forward P/E and actual P/E, as well as based on the Dividend Discount Model.</w:t>
      </w:r>
      <w:r w:rsidR="00C93C55">
        <w:rPr>
          <w:rFonts w:ascii="Times New Roman" w:eastAsia="Times New Roman" w:hAnsi="Times New Roman" w:cs="Times New Roman"/>
        </w:rPr>
        <w:t xml:space="preserve"> </w:t>
      </w:r>
    </w:p>
    <w:p w14:paraId="297A065A" w14:textId="15180607" w:rsidR="001D692C" w:rsidRPr="00C93C55" w:rsidRDefault="00C93C55" w:rsidP="00FF6A24">
      <w:pPr>
        <w:pStyle w:val="ListParagraph"/>
        <w:spacing w:after="120" w:line="360" w:lineRule="auto"/>
        <w:ind w:left="7200"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C93C55">
        <w:rPr>
          <w:rFonts w:ascii="Times New Roman" w:eastAsia="Times New Roman" w:hAnsi="Times New Roman" w:cs="Times New Roman"/>
          <w:i/>
          <w:iCs/>
        </w:rPr>
        <w:t>(</w:t>
      </w:r>
      <w:r w:rsidR="00FF6A24">
        <w:rPr>
          <w:rFonts w:ascii="Times New Roman" w:eastAsia="Times New Roman" w:hAnsi="Times New Roman" w:cs="Times New Roman"/>
          <w:i/>
          <w:iCs/>
        </w:rPr>
        <w:t>5</w:t>
      </w:r>
      <w:r w:rsidRPr="00C93C55">
        <w:rPr>
          <w:rFonts w:ascii="Times New Roman" w:eastAsia="Times New Roman" w:hAnsi="Times New Roman" w:cs="Times New Roman"/>
          <w:i/>
          <w:iCs/>
        </w:rPr>
        <w:t xml:space="preserve"> Marks)</w:t>
      </w:r>
    </w:p>
    <w:p w14:paraId="07D171D3" w14:textId="3C388C4E" w:rsidR="00126C28" w:rsidRPr="00C93C55" w:rsidRDefault="007B7859" w:rsidP="00126C28">
      <w:pPr>
        <w:spacing w:after="120"/>
        <w:ind w:left="72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C93C55" w:rsidRPr="00C93C55">
        <w:rPr>
          <w:rFonts w:ascii="Times New Roman" w:eastAsia="Times New Roman" w:hAnsi="Times New Roman" w:cs="Times New Roman"/>
          <w:b/>
        </w:rPr>
        <w:t>(</w:t>
      </w:r>
      <w:r w:rsidR="00126C28" w:rsidRPr="00C93C55">
        <w:rPr>
          <w:rFonts w:ascii="Times New Roman" w:eastAsia="Times New Roman" w:hAnsi="Times New Roman" w:cs="Times New Roman"/>
          <w:b/>
        </w:rPr>
        <w:t xml:space="preserve">Marks </w:t>
      </w:r>
      <w:r w:rsidR="00C93C55" w:rsidRPr="00C93C55">
        <w:rPr>
          <w:rFonts w:ascii="Times New Roman" w:eastAsia="Times New Roman" w:hAnsi="Times New Roman" w:cs="Times New Roman"/>
          <w:b/>
        </w:rPr>
        <w:t>8)</w:t>
      </w:r>
    </w:p>
    <w:p w14:paraId="58BF0B0E" w14:textId="77777777" w:rsidR="008961BD" w:rsidRDefault="008961BD" w:rsidP="008410B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61637206" w14:textId="06128119" w:rsidR="00126C28" w:rsidRPr="00A06ACF" w:rsidRDefault="00126C28" w:rsidP="008961B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C93C55">
        <w:rPr>
          <w:rFonts w:ascii="Times New Roman" w:eastAsia="Times New Roman" w:hAnsi="Times New Roman" w:cs="Times New Roman"/>
        </w:rPr>
        <w:t>Q3.</w:t>
      </w:r>
      <w:r w:rsidRPr="00C93C55">
        <w:rPr>
          <w:rFonts w:ascii="Times New Roman" w:eastAsia="Times New Roman" w:hAnsi="Times New Roman" w:cs="Times New Roman"/>
          <w:b/>
        </w:rPr>
        <w:t xml:space="preserve"> </w:t>
      </w:r>
      <w:r w:rsidRPr="00C93C55">
        <w:rPr>
          <w:rFonts w:ascii="Times New Roman" w:eastAsia="Times New Roman" w:hAnsi="Times New Roman" w:cs="Times New Roman"/>
        </w:rPr>
        <w:tab/>
      </w:r>
      <w:r w:rsidR="00C93C55" w:rsidRPr="00C93C55">
        <w:rPr>
          <w:rFonts w:ascii="Times New Roman" w:eastAsia="Times New Roman" w:hAnsi="Times New Roman" w:cs="Times New Roman"/>
        </w:rPr>
        <w:t xml:space="preserve">Swan Company has </w:t>
      </w:r>
      <w:r w:rsidR="00C93C55">
        <w:rPr>
          <w:rFonts w:ascii="Times New Roman" w:eastAsia="Times New Roman" w:hAnsi="Times New Roman" w:cs="Times New Roman"/>
        </w:rPr>
        <w:t xml:space="preserve">an FCFF of $1.7 billion and an </w:t>
      </w:r>
      <w:r w:rsidR="00C93C55" w:rsidRPr="00C93C55">
        <w:rPr>
          <w:rFonts w:ascii="Times New Roman" w:eastAsia="Times New Roman" w:hAnsi="Times New Roman" w:cs="Times New Roman"/>
        </w:rPr>
        <w:t xml:space="preserve">FCFE of $1.3 billion. Swan’s </w:t>
      </w:r>
      <w:r w:rsidR="00C93C55">
        <w:rPr>
          <w:rFonts w:ascii="Times New Roman" w:eastAsia="Times New Roman" w:hAnsi="Times New Roman" w:cs="Times New Roman"/>
        </w:rPr>
        <w:t>WACC</w:t>
      </w:r>
      <w:r w:rsidR="00C93C55" w:rsidRPr="00C93C55">
        <w:rPr>
          <w:rFonts w:ascii="Times New Roman" w:eastAsia="Times New Roman" w:hAnsi="Times New Roman" w:cs="Times New Roman"/>
        </w:rPr>
        <w:t xml:space="preserve"> is 11% and its required rate of return for equity is 13%. F</w:t>
      </w:r>
      <w:r w:rsidR="00EE2F52">
        <w:rPr>
          <w:rFonts w:ascii="Times New Roman" w:eastAsia="Times New Roman" w:hAnsi="Times New Roman" w:cs="Times New Roman"/>
        </w:rPr>
        <w:t>C</w:t>
      </w:r>
      <w:r w:rsidR="00C93C55" w:rsidRPr="00C93C55">
        <w:rPr>
          <w:rFonts w:ascii="Times New Roman" w:eastAsia="Times New Roman" w:hAnsi="Times New Roman" w:cs="Times New Roman"/>
        </w:rPr>
        <w:t xml:space="preserve">FF is expected to grow </w:t>
      </w:r>
      <w:r w:rsidR="00C93C55">
        <w:rPr>
          <w:rFonts w:ascii="Times New Roman" w:eastAsia="Times New Roman" w:hAnsi="Times New Roman" w:cs="Times New Roman"/>
        </w:rPr>
        <w:t>forever</w:t>
      </w:r>
      <w:r w:rsidR="00C93C55" w:rsidRPr="00C93C55">
        <w:rPr>
          <w:rFonts w:ascii="Times New Roman" w:eastAsia="Times New Roman" w:hAnsi="Times New Roman" w:cs="Times New Roman"/>
        </w:rPr>
        <w:t xml:space="preserve"> at 7%</w:t>
      </w:r>
      <w:r w:rsidRPr="00C93C55">
        <w:rPr>
          <w:rFonts w:ascii="Times New Roman" w:eastAsia="Times New Roman" w:hAnsi="Times New Roman" w:cs="Times New Roman"/>
        </w:rPr>
        <w:tab/>
      </w:r>
      <w:r w:rsidR="00C93C55" w:rsidRPr="00C93C55">
        <w:rPr>
          <w:rFonts w:ascii="Times New Roman" w:eastAsia="Times New Roman" w:hAnsi="Times New Roman" w:cs="Times New Roman"/>
        </w:rPr>
        <w:t>and FCFE is expected to grow forever at 7.5%. Swan has debt outstanding of $ 15 billion.</w:t>
      </w:r>
      <w:r w:rsidR="008410BB">
        <w:rPr>
          <w:rFonts w:ascii="Times New Roman" w:eastAsia="Times New Roman" w:hAnsi="Times New Roman" w:cs="Times New Roman"/>
        </w:rPr>
        <w:t xml:space="preserve"> </w:t>
      </w:r>
      <w:r w:rsidR="005C24CF">
        <w:rPr>
          <w:rFonts w:ascii="Times New Roman" w:eastAsia="Times New Roman" w:hAnsi="Times New Roman" w:cs="Times New Roman"/>
        </w:rPr>
        <w:t xml:space="preserve"> Compare and contrast</w:t>
      </w:r>
      <w:r w:rsidR="00D4601E" w:rsidRPr="00D4601E">
        <w:rPr>
          <w:rFonts w:ascii="Times New Roman" w:eastAsia="Times New Roman" w:hAnsi="Times New Roman" w:cs="Times New Roman"/>
        </w:rPr>
        <w:t xml:space="preserve"> the</w:t>
      </w:r>
      <w:r w:rsidR="00C93C55" w:rsidRPr="00D4601E">
        <w:rPr>
          <w:rFonts w:ascii="Times New Roman" w:eastAsia="Times New Roman" w:hAnsi="Times New Roman" w:cs="Times New Roman"/>
        </w:rPr>
        <w:t xml:space="preserve"> total value of Swan’s equity using the </w:t>
      </w:r>
      <w:r w:rsidR="00D4601E" w:rsidRPr="00D4601E">
        <w:rPr>
          <w:rFonts w:ascii="Times New Roman" w:eastAsia="Times New Roman" w:hAnsi="Times New Roman" w:cs="Times New Roman"/>
        </w:rPr>
        <w:t>FCFF &amp; FCFE e</w:t>
      </w:r>
      <w:r w:rsidR="00C93C55" w:rsidRPr="00D4601E">
        <w:rPr>
          <w:rFonts w:ascii="Times New Roman" w:eastAsia="Times New Roman" w:hAnsi="Times New Roman" w:cs="Times New Roman"/>
        </w:rPr>
        <w:t>valuation approach</w:t>
      </w:r>
      <w:r w:rsidR="00D4601E" w:rsidRPr="00D4601E">
        <w:rPr>
          <w:rFonts w:ascii="Times New Roman" w:eastAsia="Times New Roman" w:hAnsi="Times New Roman" w:cs="Times New Roman"/>
        </w:rPr>
        <w:t>es.</w:t>
      </w:r>
      <w:r w:rsidR="00C93C55" w:rsidRPr="00D4601E">
        <w:rPr>
          <w:rFonts w:ascii="Times New Roman" w:eastAsia="Times New Roman" w:hAnsi="Times New Roman" w:cs="Times New Roman"/>
        </w:rPr>
        <w:t xml:space="preserve"> </w:t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C93C55" w:rsidRPr="00D4601E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5C24CF">
        <w:rPr>
          <w:rFonts w:ascii="Times New Roman" w:eastAsia="Times New Roman" w:hAnsi="Times New Roman" w:cs="Times New Roman"/>
        </w:rPr>
        <w:tab/>
      </w:r>
      <w:r w:rsidR="00747C9E">
        <w:rPr>
          <w:rFonts w:ascii="Times New Roman" w:eastAsia="Times New Roman" w:hAnsi="Times New Roman" w:cs="Times New Roman"/>
        </w:rPr>
        <w:t xml:space="preserve">             </w:t>
      </w:r>
      <w:r w:rsidR="00C93C55" w:rsidRPr="00A06ACF">
        <w:rPr>
          <w:rFonts w:ascii="Times New Roman" w:eastAsia="Times New Roman" w:hAnsi="Times New Roman" w:cs="Times New Roman"/>
          <w:b/>
        </w:rPr>
        <w:t>(</w:t>
      </w:r>
      <w:r w:rsidRPr="00A06ACF">
        <w:rPr>
          <w:rFonts w:ascii="Times New Roman" w:eastAsia="Times New Roman" w:hAnsi="Times New Roman" w:cs="Times New Roman"/>
          <w:b/>
        </w:rPr>
        <w:t xml:space="preserve">Marks </w:t>
      </w:r>
      <w:r w:rsidR="00C93C55" w:rsidRPr="00A06ACF">
        <w:rPr>
          <w:rFonts w:ascii="Times New Roman" w:eastAsia="Times New Roman" w:hAnsi="Times New Roman" w:cs="Times New Roman"/>
          <w:b/>
        </w:rPr>
        <w:t>6)</w:t>
      </w:r>
    </w:p>
    <w:p w14:paraId="3F1A2A9E" w14:textId="77777777" w:rsidR="00126C28" w:rsidRDefault="00126C28" w:rsidP="00126C28">
      <w:pPr>
        <w:spacing w:after="120"/>
        <w:jc w:val="both"/>
        <w:rPr>
          <w:rFonts w:eastAsia="Times New Roman" w:cstheme="minorHAnsi"/>
          <w:b/>
        </w:rPr>
      </w:pPr>
    </w:p>
    <w:p w14:paraId="757E3D80" w14:textId="49D4BF6E" w:rsidR="00126C28" w:rsidRPr="008E091F" w:rsidRDefault="00126C28" w:rsidP="008961BD">
      <w:pPr>
        <w:spacing w:line="360" w:lineRule="auto"/>
        <w:jc w:val="both"/>
        <w:rPr>
          <w:rFonts w:ascii="Times New Roman" w:hAnsi="Times New Roman" w:cs="Times New Roman"/>
        </w:rPr>
      </w:pPr>
      <w:r w:rsidRPr="00B15783">
        <w:rPr>
          <w:rFonts w:ascii="Times New Roman" w:eastAsia="Times New Roman" w:hAnsi="Times New Roman" w:cs="Times New Roman"/>
        </w:rPr>
        <w:t xml:space="preserve">Q4. </w:t>
      </w:r>
      <w:r w:rsidRPr="00B15783">
        <w:rPr>
          <w:rFonts w:ascii="Times New Roman" w:eastAsia="Times New Roman" w:hAnsi="Times New Roman" w:cs="Times New Roman"/>
        </w:rPr>
        <w:tab/>
      </w:r>
      <w:r w:rsidR="00B15783" w:rsidRPr="008E091F">
        <w:rPr>
          <w:rFonts w:ascii="Times New Roman" w:hAnsi="Times New Roman" w:cs="Times New Roman"/>
        </w:rPr>
        <w:t xml:space="preserve">Mr Sharma, a mid-level corporate executive, has recently begun investing in the </w:t>
      </w:r>
      <w:r w:rsidRPr="008E091F">
        <w:rPr>
          <w:rFonts w:ascii="Times New Roman" w:hAnsi="Times New Roman" w:cs="Times New Roman"/>
        </w:rPr>
        <w:t>equity markets. After attending a webinar on the Efficient Market Hypothesis (EMH), he became convinced that “</w:t>
      </w:r>
      <w:r w:rsidRPr="008410BB">
        <w:rPr>
          <w:rFonts w:ascii="Times New Roman" w:hAnsi="Times New Roman" w:cs="Times New Roman"/>
          <w:i/>
          <w:iCs/>
        </w:rPr>
        <w:t>stock picking is useless</w:t>
      </w:r>
      <w:r w:rsidRPr="008E091F">
        <w:rPr>
          <w:rFonts w:ascii="Times New Roman" w:hAnsi="Times New Roman" w:cs="Times New Roman"/>
        </w:rPr>
        <w:t>” since all information is already reflected in prices.</w:t>
      </w:r>
    </w:p>
    <w:p w14:paraId="6931798D" w14:textId="4053B983" w:rsidR="00B15783" w:rsidRPr="008E091F" w:rsidRDefault="00126C28" w:rsidP="008961BD">
      <w:pPr>
        <w:spacing w:line="360" w:lineRule="auto"/>
        <w:jc w:val="both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However, he is confused about whether to stick with passive index investing or try active fund management, especially since some of his colleagues claim to consistently “beat the market” by timing entry/exit in mid-cap and sectoral funds. Mr. Sharma approaches you, his portfolio advisor, for guidance.</w:t>
      </w:r>
      <w:r w:rsidR="008410BB">
        <w:rPr>
          <w:rFonts w:ascii="Times New Roman" w:hAnsi="Times New Roman" w:cs="Times New Roman"/>
        </w:rPr>
        <w:t xml:space="preserve"> </w:t>
      </w:r>
      <w:r w:rsidRPr="008E091F">
        <w:rPr>
          <w:rFonts w:ascii="Times New Roman" w:hAnsi="Times New Roman" w:cs="Times New Roman"/>
        </w:rPr>
        <w:t>As his advisor, prepare a response that covers the following:</w:t>
      </w:r>
    </w:p>
    <w:p w14:paraId="3050FC18" w14:textId="2B7F0B3A" w:rsidR="00126C28" w:rsidRPr="008961BD" w:rsidRDefault="00126C28" w:rsidP="00B15783">
      <w:pPr>
        <w:spacing w:line="360" w:lineRule="auto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(a) </w:t>
      </w:r>
      <w:r w:rsidR="00D4601E">
        <w:rPr>
          <w:rFonts w:ascii="Times New Roman" w:hAnsi="Times New Roman" w:cs="Times New Roman"/>
        </w:rPr>
        <w:t>Interpret</w:t>
      </w:r>
      <w:r w:rsidRPr="008E091F">
        <w:rPr>
          <w:rFonts w:ascii="Times New Roman" w:hAnsi="Times New Roman" w:cs="Times New Roman"/>
        </w:rPr>
        <w:t xml:space="preserve"> the concept of semi-strong form EMH and </w:t>
      </w:r>
      <w:r w:rsidR="00D4601E">
        <w:rPr>
          <w:rFonts w:ascii="Times New Roman" w:hAnsi="Times New Roman" w:cs="Times New Roman"/>
        </w:rPr>
        <w:t xml:space="preserve">illustrate </w:t>
      </w:r>
      <w:r w:rsidRPr="008E091F">
        <w:rPr>
          <w:rFonts w:ascii="Times New Roman" w:hAnsi="Times New Roman" w:cs="Times New Roman"/>
        </w:rPr>
        <w:t>its implications for Mr. Sharma’s concern</w:t>
      </w:r>
      <w:r w:rsidR="00B15783" w:rsidRPr="008E091F">
        <w:rPr>
          <w:rFonts w:ascii="Times New Roman" w:hAnsi="Times New Roman" w:cs="Times New Roman"/>
        </w:rPr>
        <w:t>. (</w:t>
      </w:r>
      <w:r w:rsidRPr="008E091F">
        <w:rPr>
          <w:rFonts w:ascii="Times New Roman" w:hAnsi="Times New Roman" w:cs="Times New Roman"/>
          <w:i/>
          <w:iCs/>
        </w:rPr>
        <w:t>2 Marks</w:t>
      </w:r>
      <w:r w:rsidRPr="008E091F">
        <w:rPr>
          <w:rFonts w:ascii="Times New Roman" w:hAnsi="Times New Roman" w:cs="Times New Roman"/>
        </w:rPr>
        <w:t>)</w:t>
      </w:r>
      <w:r w:rsidRPr="008E091F">
        <w:rPr>
          <w:rFonts w:ascii="Times New Roman" w:hAnsi="Times New Roman" w:cs="Times New Roman"/>
        </w:rPr>
        <w:br/>
        <w:t xml:space="preserve">(b) </w:t>
      </w:r>
      <w:r w:rsidR="008410BB">
        <w:rPr>
          <w:rFonts w:ascii="Times New Roman" w:hAnsi="Times New Roman" w:cs="Times New Roman"/>
        </w:rPr>
        <w:t>Determine</w:t>
      </w:r>
      <w:r w:rsidRPr="008E091F">
        <w:rPr>
          <w:rFonts w:ascii="Times New Roman" w:hAnsi="Times New Roman" w:cs="Times New Roman"/>
        </w:rPr>
        <w:t xml:space="preserve"> the relevance of passive vs active strategies</w:t>
      </w:r>
      <w:r w:rsidR="00D4601E">
        <w:rPr>
          <w:rFonts w:ascii="Times New Roman" w:hAnsi="Times New Roman" w:cs="Times New Roman"/>
        </w:rPr>
        <w:t xml:space="preserve"> </w:t>
      </w:r>
      <w:r w:rsidR="008961BD">
        <w:rPr>
          <w:rFonts w:ascii="Times New Roman" w:hAnsi="Times New Roman" w:cs="Times New Roman"/>
        </w:rPr>
        <w:t>in</w:t>
      </w:r>
      <w:r w:rsidR="00D4601E">
        <w:rPr>
          <w:rFonts w:ascii="Times New Roman" w:hAnsi="Times New Roman" w:cs="Times New Roman"/>
        </w:rPr>
        <w:t xml:space="preserve"> his </w:t>
      </w:r>
      <w:r w:rsidRPr="008E091F">
        <w:rPr>
          <w:rFonts w:ascii="Times New Roman" w:hAnsi="Times New Roman" w:cs="Times New Roman"/>
        </w:rPr>
        <w:t>situation</w:t>
      </w:r>
      <w:r w:rsidR="00D4601E">
        <w:rPr>
          <w:rFonts w:ascii="Times New Roman" w:hAnsi="Times New Roman" w:cs="Times New Roman"/>
        </w:rPr>
        <w:t>.</w:t>
      </w:r>
      <w:r w:rsidR="008961BD">
        <w:rPr>
          <w:rFonts w:ascii="Times New Roman" w:hAnsi="Times New Roman" w:cs="Times New Roman"/>
        </w:rPr>
        <w:t xml:space="preserve"> (</w:t>
      </w:r>
      <w:r w:rsidRPr="008E091F">
        <w:rPr>
          <w:rFonts w:ascii="Times New Roman" w:hAnsi="Times New Roman" w:cs="Times New Roman"/>
          <w:i/>
          <w:iCs/>
        </w:rPr>
        <w:t>2 Marks</w:t>
      </w:r>
      <w:r w:rsidRPr="008E091F">
        <w:rPr>
          <w:rFonts w:ascii="Times New Roman" w:hAnsi="Times New Roman" w:cs="Times New Roman"/>
        </w:rPr>
        <w:t>)</w:t>
      </w:r>
      <w:r w:rsidRPr="008E091F">
        <w:rPr>
          <w:rFonts w:ascii="Times New Roman" w:hAnsi="Times New Roman" w:cs="Times New Roman"/>
        </w:rPr>
        <w:br/>
        <w:t xml:space="preserve">(c) </w:t>
      </w:r>
      <w:r w:rsidR="00D4601E">
        <w:rPr>
          <w:rFonts w:ascii="Times New Roman" w:hAnsi="Times New Roman" w:cs="Times New Roman"/>
        </w:rPr>
        <w:t xml:space="preserve">Recommend </w:t>
      </w:r>
      <w:r w:rsidRPr="008E091F">
        <w:rPr>
          <w:rFonts w:ascii="Times New Roman" w:hAnsi="Times New Roman" w:cs="Times New Roman"/>
        </w:rPr>
        <w:t xml:space="preserve">and </w:t>
      </w:r>
      <w:r w:rsidR="00D4601E">
        <w:rPr>
          <w:rFonts w:ascii="Times New Roman" w:hAnsi="Times New Roman" w:cs="Times New Roman"/>
        </w:rPr>
        <w:t>defend</w:t>
      </w:r>
      <w:r w:rsidRPr="008E091F">
        <w:rPr>
          <w:rFonts w:ascii="Times New Roman" w:hAnsi="Times New Roman" w:cs="Times New Roman"/>
        </w:rPr>
        <w:t xml:space="preserve"> one hybrid approach that balances market efficiency with selective opportunities for generating </w:t>
      </w:r>
      <w:r w:rsidR="00B15783" w:rsidRPr="008E091F">
        <w:rPr>
          <w:rFonts w:ascii="Times New Roman" w:hAnsi="Times New Roman" w:cs="Times New Roman"/>
        </w:rPr>
        <w:t>alpha. (</w:t>
      </w:r>
      <w:r w:rsidR="00B15783" w:rsidRPr="008E091F">
        <w:rPr>
          <w:rFonts w:ascii="Times New Roman" w:hAnsi="Times New Roman" w:cs="Times New Roman"/>
          <w:i/>
          <w:iCs/>
        </w:rPr>
        <w:t>3 Marks</w:t>
      </w:r>
      <w:r w:rsidR="00B15783" w:rsidRPr="008E091F">
        <w:rPr>
          <w:rFonts w:ascii="Times New Roman" w:hAnsi="Times New Roman" w:cs="Times New Roman"/>
        </w:rPr>
        <w:t>)</w:t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B15783" w:rsidRPr="008E091F">
        <w:rPr>
          <w:rFonts w:eastAsia="Times New Roman" w:cstheme="minorHAnsi"/>
        </w:rPr>
        <w:tab/>
      </w:r>
      <w:r w:rsidR="00F930B3">
        <w:rPr>
          <w:rFonts w:eastAsia="Times New Roman" w:cstheme="minorHAnsi"/>
        </w:rPr>
        <w:t xml:space="preserve">                </w:t>
      </w:r>
      <w:r w:rsidR="00B15783" w:rsidRPr="008961BD">
        <w:rPr>
          <w:rFonts w:eastAsia="Times New Roman" w:cstheme="minorHAnsi"/>
          <w:b/>
          <w:bCs/>
        </w:rPr>
        <w:t>(</w:t>
      </w:r>
      <w:r w:rsidRPr="008961BD">
        <w:rPr>
          <w:rFonts w:ascii="Times New Roman" w:eastAsia="Times New Roman" w:hAnsi="Times New Roman" w:cs="Times New Roman"/>
          <w:b/>
          <w:bCs/>
        </w:rPr>
        <w:t>Marks 7</w:t>
      </w:r>
      <w:r w:rsidR="00B15783" w:rsidRPr="008961BD">
        <w:rPr>
          <w:rFonts w:ascii="Times New Roman" w:eastAsia="Times New Roman" w:hAnsi="Times New Roman" w:cs="Times New Roman"/>
          <w:b/>
          <w:bCs/>
        </w:rPr>
        <w:t>)</w:t>
      </w:r>
    </w:p>
    <w:p w14:paraId="629540FB" w14:textId="61E28D91" w:rsidR="00126C28" w:rsidRPr="008E091F" w:rsidRDefault="00126C28" w:rsidP="00B15783">
      <w:pPr>
        <w:spacing w:line="360" w:lineRule="auto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Q5.</w:t>
      </w:r>
      <w:r w:rsidRPr="008E091F">
        <w:rPr>
          <w:rFonts w:cstheme="minorHAnsi"/>
        </w:rPr>
        <w:t xml:space="preserve">   </w:t>
      </w:r>
      <w:r w:rsidRPr="008E091F">
        <w:rPr>
          <w:rFonts w:ascii="Times New Roman" w:hAnsi="Times New Roman" w:cs="Times New Roman"/>
        </w:rPr>
        <w:t xml:space="preserve">Mr. Raghav, a high-net-worth investor, holds 45 Indian stocks spread across multiple sectors. His portfolio beta is 1.05, with a standard deviation of 18% and an expected return of </w:t>
      </w:r>
      <w:r w:rsidRPr="008E091F">
        <w:rPr>
          <w:rFonts w:ascii="Times New Roman" w:hAnsi="Times New Roman" w:cs="Times New Roman"/>
        </w:rPr>
        <w:lastRenderedPageBreak/>
        <w:t>13%. The Nifty50 index has a return of 12%, a standard deviation of 16%, and a beta of 1.0. The risk-free rate is 6%.</w:t>
      </w:r>
    </w:p>
    <w:p w14:paraId="12EAC650" w14:textId="58E32697" w:rsidR="00126C28" w:rsidRPr="008E091F" w:rsidRDefault="00126C28" w:rsidP="00B15783">
      <w:pPr>
        <w:spacing w:line="360" w:lineRule="auto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Raghav observes that, despite holding </w:t>
      </w:r>
      <w:r w:rsidR="00B15783" w:rsidRPr="008E091F">
        <w:rPr>
          <w:rFonts w:ascii="Times New Roman" w:hAnsi="Times New Roman" w:cs="Times New Roman"/>
        </w:rPr>
        <w:t>many</w:t>
      </w:r>
      <w:r w:rsidRPr="008E091F">
        <w:rPr>
          <w:rFonts w:ascii="Times New Roman" w:hAnsi="Times New Roman" w:cs="Times New Roman"/>
        </w:rPr>
        <w:t xml:space="preserve"> stocks, his portfolio's return is nearly identical to that of the Nifty50 index, and he wonders if he is truly being rewarded for the risks he is taking.</w:t>
      </w:r>
    </w:p>
    <w:p w14:paraId="04D41049" w14:textId="261C9C58" w:rsidR="00126C28" w:rsidRPr="008E091F" w:rsidRDefault="00126C28" w:rsidP="00B1578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Using the CAPM, </w:t>
      </w:r>
      <w:r w:rsidR="003F6DFE">
        <w:rPr>
          <w:rFonts w:ascii="Times New Roman" w:hAnsi="Times New Roman" w:cs="Times New Roman"/>
        </w:rPr>
        <w:t>explain</w:t>
      </w:r>
      <w:r w:rsidRPr="008E091F">
        <w:rPr>
          <w:rFonts w:ascii="Times New Roman" w:hAnsi="Times New Roman" w:cs="Times New Roman"/>
        </w:rPr>
        <w:t xml:space="preserve"> whether Raghav is earning </w:t>
      </w:r>
      <w:r w:rsidR="00B15783" w:rsidRPr="008E091F">
        <w:rPr>
          <w:rFonts w:ascii="Times New Roman" w:hAnsi="Times New Roman" w:cs="Times New Roman"/>
        </w:rPr>
        <w:t xml:space="preserve">an </w:t>
      </w:r>
      <w:r w:rsidRPr="008E091F">
        <w:rPr>
          <w:rFonts w:ascii="Times New Roman" w:hAnsi="Times New Roman" w:cs="Times New Roman"/>
        </w:rPr>
        <w:t xml:space="preserve">adequate return for the level of systematic risk (beta) in his portfolio. </w:t>
      </w:r>
      <w:r w:rsidRPr="008E091F">
        <w:rPr>
          <w:rFonts w:ascii="Times New Roman" w:hAnsi="Times New Roman" w:cs="Times New Roman"/>
          <w:i/>
          <w:iCs/>
        </w:rPr>
        <w:t>(3 Marks)</w:t>
      </w:r>
    </w:p>
    <w:p w14:paraId="56816815" w14:textId="5D4F83CD" w:rsidR="00126C28" w:rsidRPr="008E091F" w:rsidRDefault="008410BB" w:rsidP="00B1578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</w:t>
      </w:r>
      <w:r w:rsidR="003F6DFE">
        <w:rPr>
          <w:rFonts w:ascii="Times New Roman" w:hAnsi="Times New Roman" w:cs="Times New Roman"/>
        </w:rPr>
        <w:t xml:space="preserve"> the</w:t>
      </w:r>
      <w:r w:rsidR="00126C28" w:rsidRPr="008E091F">
        <w:rPr>
          <w:rFonts w:ascii="Times New Roman" w:hAnsi="Times New Roman" w:cs="Times New Roman"/>
        </w:rPr>
        <w:t xml:space="preserve"> systematic and unsystematic risk in his portfolio, explaining why adding more stocks (beyond 20–25) provides negligible benefit. </w:t>
      </w:r>
      <w:r w:rsidR="00126C28" w:rsidRPr="008E091F">
        <w:rPr>
          <w:rFonts w:ascii="Times New Roman" w:hAnsi="Times New Roman" w:cs="Times New Roman"/>
          <w:i/>
          <w:iCs/>
        </w:rPr>
        <w:t>(3 Marks)</w:t>
      </w:r>
    </w:p>
    <w:p w14:paraId="3D82C3DF" w14:textId="53374194" w:rsidR="00126C28" w:rsidRPr="008E091F" w:rsidRDefault="00126C28" w:rsidP="00B1578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As his advisor, </w:t>
      </w:r>
      <w:r w:rsidR="003F6DFE">
        <w:rPr>
          <w:rFonts w:ascii="Times New Roman" w:hAnsi="Times New Roman" w:cs="Times New Roman"/>
        </w:rPr>
        <w:t>formulate</w:t>
      </w:r>
      <w:r w:rsidRPr="008E091F">
        <w:rPr>
          <w:rFonts w:ascii="Times New Roman" w:hAnsi="Times New Roman" w:cs="Times New Roman"/>
        </w:rPr>
        <w:t xml:space="preserve"> one strategy to improve portfolio efficiency without falling into the trap of over-diversification. </w:t>
      </w:r>
      <w:r w:rsidRPr="008E091F">
        <w:rPr>
          <w:rFonts w:ascii="Times New Roman" w:hAnsi="Times New Roman" w:cs="Times New Roman"/>
          <w:i/>
          <w:iCs/>
        </w:rPr>
        <w:t>(2 Marks)</w:t>
      </w:r>
    </w:p>
    <w:p w14:paraId="4643B65A" w14:textId="22732E0D" w:rsidR="00126C28" w:rsidRPr="008961BD" w:rsidRDefault="00126C28" w:rsidP="00B15783">
      <w:pPr>
        <w:pStyle w:val="NormalWeb"/>
        <w:spacing w:after="0" w:line="360" w:lineRule="auto"/>
        <w:jc w:val="both"/>
        <w:rPr>
          <w:rFonts w:eastAsia="Times New Roman"/>
          <w:b/>
          <w:bCs/>
          <w:color w:val="0E101A"/>
          <w:lang w:eastAsia="en-IN"/>
        </w:rPr>
      </w:pP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Pr="008E091F">
        <w:rPr>
          <w:rFonts w:eastAsia="Times New Roman"/>
          <w:color w:val="0E101A"/>
          <w:lang w:eastAsia="en-IN"/>
        </w:rPr>
        <w:tab/>
      </w:r>
      <w:r w:rsidR="00346515">
        <w:rPr>
          <w:rFonts w:eastAsia="Times New Roman"/>
          <w:color w:val="0E101A"/>
          <w:lang w:eastAsia="en-IN"/>
        </w:rPr>
        <w:t xml:space="preserve">             </w:t>
      </w:r>
      <w:r w:rsidRPr="008961BD">
        <w:rPr>
          <w:rFonts w:eastAsia="Times New Roman"/>
          <w:b/>
          <w:bCs/>
          <w:color w:val="0E101A"/>
          <w:lang w:eastAsia="en-IN"/>
        </w:rPr>
        <w:t>(Marks 8</w:t>
      </w:r>
      <w:r w:rsidR="00B15783" w:rsidRPr="008961BD">
        <w:rPr>
          <w:rFonts w:eastAsia="Times New Roman"/>
          <w:b/>
          <w:bCs/>
          <w:color w:val="0E101A"/>
          <w:lang w:eastAsia="en-IN"/>
        </w:rPr>
        <w:t>)</w:t>
      </w:r>
    </w:p>
    <w:p w14:paraId="19DA9AA6" w14:textId="77777777" w:rsidR="008E091F" w:rsidRDefault="008E091F" w:rsidP="00B15783">
      <w:pPr>
        <w:rPr>
          <w:rFonts w:ascii="Times New Roman" w:eastAsia="Times New Roman" w:hAnsi="Times New Roman" w:cs="Times New Roman"/>
          <w:color w:val="0E101A"/>
          <w:lang w:eastAsia="en-IN"/>
        </w:rPr>
      </w:pPr>
    </w:p>
    <w:p w14:paraId="0F9848CA" w14:textId="339FF083" w:rsidR="00B15783" w:rsidRPr="008E091F" w:rsidRDefault="00B15783" w:rsidP="00B15783">
      <w:pPr>
        <w:rPr>
          <w:rFonts w:ascii="Times New Roman" w:hAnsi="Times New Roman" w:cs="Times New Roman"/>
        </w:rPr>
      </w:pPr>
      <w:r w:rsidRPr="008E091F">
        <w:rPr>
          <w:rFonts w:ascii="Times New Roman" w:eastAsia="Times New Roman" w:hAnsi="Times New Roman" w:cs="Times New Roman"/>
          <w:color w:val="0E101A"/>
          <w:lang w:eastAsia="en-IN"/>
        </w:rPr>
        <w:t xml:space="preserve">Q6) </w:t>
      </w:r>
      <w:r w:rsidRPr="008E091F">
        <w:rPr>
          <w:rFonts w:ascii="Times New Roman" w:hAnsi="Times New Roman" w:cs="Times New Roman"/>
        </w:rPr>
        <w:t>A fund manager is evaluating the expected return of a diversified equity portfolio using a two-factor macroeconomic model. The factors considered are:</w:t>
      </w:r>
    </w:p>
    <w:p w14:paraId="602D256D" w14:textId="77777777" w:rsidR="00B15783" w:rsidRPr="008E091F" w:rsidRDefault="00B15783" w:rsidP="00B1578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Market Risk Premium = 8%</w:t>
      </w:r>
    </w:p>
    <w:p w14:paraId="3F01C1B5" w14:textId="77777777" w:rsidR="00B15783" w:rsidRPr="008E091F" w:rsidRDefault="00B15783" w:rsidP="00B1578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Inflation Shock Factor = 3%</w:t>
      </w:r>
    </w:p>
    <w:p w14:paraId="417100F0" w14:textId="77777777" w:rsidR="00B15783" w:rsidRPr="008E091F" w:rsidRDefault="00B15783" w:rsidP="00B15783">
      <w:p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The portfolio has the following factor sensitivities:</w:t>
      </w:r>
    </w:p>
    <w:p w14:paraId="273DDC45" w14:textId="4E803EAA" w:rsidR="00B15783" w:rsidRPr="008E091F" w:rsidRDefault="00B15783" w:rsidP="00B1578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Beta (Market factor) = </w:t>
      </w:r>
      <w:r w:rsidR="008410BB">
        <w:rPr>
          <w:rFonts w:ascii="Times New Roman" w:hAnsi="Times New Roman" w:cs="Times New Roman"/>
        </w:rPr>
        <w:t>+</w:t>
      </w:r>
      <w:r w:rsidRPr="008E091F">
        <w:rPr>
          <w:rFonts w:ascii="Times New Roman" w:hAnsi="Times New Roman" w:cs="Times New Roman"/>
        </w:rPr>
        <w:t>1.1</w:t>
      </w:r>
    </w:p>
    <w:p w14:paraId="0B37F7D2" w14:textId="77777777" w:rsidR="00B15783" w:rsidRPr="008E091F" w:rsidRDefault="00B15783" w:rsidP="00B1578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Sensitivity to Inflation factor = −0.4</w:t>
      </w:r>
    </w:p>
    <w:p w14:paraId="7D2AE1F7" w14:textId="77777777" w:rsidR="00B15783" w:rsidRDefault="00B15783" w:rsidP="00B15783">
      <w:p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>The risk-free rate = 5%.</w:t>
      </w:r>
    </w:p>
    <w:p w14:paraId="3783F7EA" w14:textId="049945EE" w:rsidR="00B15783" w:rsidRPr="008E091F" w:rsidRDefault="003F6DFE" w:rsidP="00B15783">
      <w:pPr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</w:t>
      </w:r>
      <w:r w:rsidR="00B15783" w:rsidRPr="008E091F">
        <w:rPr>
          <w:rFonts w:ascii="Times New Roman" w:hAnsi="Times New Roman" w:cs="Times New Roman"/>
        </w:rPr>
        <w:t xml:space="preserve"> the expected return of the portfolio using </w:t>
      </w:r>
      <w:r w:rsidR="008410BB">
        <w:rPr>
          <w:rFonts w:ascii="Times New Roman" w:hAnsi="Times New Roman" w:cs="Times New Roman"/>
        </w:rPr>
        <w:t>a</w:t>
      </w:r>
      <w:r w:rsidR="00B15783" w:rsidRPr="008E091F">
        <w:rPr>
          <w:rFonts w:ascii="Times New Roman" w:hAnsi="Times New Roman" w:cs="Times New Roman"/>
        </w:rPr>
        <w:t xml:space="preserve"> two-factor </w:t>
      </w:r>
      <w:r w:rsidR="008410BB">
        <w:rPr>
          <w:rFonts w:ascii="Times New Roman" w:hAnsi="Times New Roman" w:cs="Times New Roman"/>
        </w:rPr>
        <w:t>macroeconomic model</w:t>
      </w:r>
      <w:r w:rsidR="00B15783" w:rsidRPr="008E091F">
        <w:rPr>
          <w:rFonts w:ascii="Times New Roman" w:hAnsi="Times New Roman" w:cs="Times New Roman"/>
        </w:rPr>
        <w:t xml:space="preserve">. </w:t>
      </w:r>
      <w:r w:rsidR="00B15783" w:rsidRPr="008E091F">
        <w:rPr>
          <w:rFonts w:ascii="Times New Roman" w:hAnsi="Times New Roman" w:cs="Times New Roman"/>
          <w:i/>
          <w:iCs/>
        </w:rPr>
        <w:t>(2 Marks)</w:t>
      </w:r>
    </w:p>
    <w:p w14:paraId="0A1090AA" w14:textId="77777777" w:rsidR="003F6DFE" w:rsidRDefault="00B15783" w:rsidP="00B15783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Briefly interpret what the negative inflation sensitivity means for this portfolio. </w:t>
      </w:r>
    </w:p>
    <w:p w14:paraId="5CCA9044" w14:textId="1FB8A7F8" w:rsidR="00B15783" w:rsidRPr="008E091F" w:rsidRDefault="00B15783" w:rsidP="003F6DFE">
      <w:pPr>
        <w:ind w:left="7200" w:firstLine="720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  <w:i/>
          <w:iCs/>
        </w:rPr>
        <w:t>(2 Marks)</w:t>
      </w:r>
    </w:p>
    <w:p w14:paraId="36463DB3" w14:textId="77777777" w:rsidR="003F6DFE" w:rsidRDefault="003F6DFE" w:rsidP="00B15783">
      <w:pPr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 </w:t>
      </w:r>
      <w:r w:rsidR="00B15783" w:rsidRPr="008E091F">
        <w:rPr>
          <w:rFonts w:ascii="Times New Roman" w:hAnsi="Times New Roman" w:cs="Times New Roman"/>
        </w:rPr>
        <w:t>one sector or asset class the manager could add to hedge this inflation risk.</w:t>
      </w:r>
    </w:p>
    <w:p w14:paraId="620D6CBF" w14:textId="388A8CBF" w:rsidR="00B15783" w:rsidRPr="008E091F" w:rsidRDefault="00B15783" w:rsidP="003F6DFE">
      <w:pPr>
        <w:ind w:left="7200" w:firstLine="720"/>
        <w:rPr>
          <w:rFonts w:ascii="Times New Roman" w:hAnsi="Times New Roman" w:cs="Times New Roman"/>
        </w:rPr>
      </w:pPr>
      <w:r w:rsidRPr="008E091F">
        <w:rPr>
          <w:rFonts w:ascii="Times New Roman" w:hAnsi="Times New Roman" w:cs="Times New Roman"/>
        </w:rPr>
        <w:t xml:space="preserve"> </w:t>
      </w:r>
      <w:r w:rsidRPr="008E091F">
        <w:rPr>
          <w:rFonts w:ascii="Times New Roman" w:hAnsi="Times New Roman" w:cs="Times New Roman"/>
          <w:i/>
          <w:iCs/>
        </w:rPr>
        <w:t>(1 Mark)</w:t>
      </w:r>
    </w:p>
    <w:p w14:paraId="11A04042" w14:textId="3BDD0337" w:rsidR="00B15783" w:rsidRPr="008961BD" w:rsidRDefault="006822EE" w:rsidP="00B15783">
      <w:pPr>
        <w:ind w:left="7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B15783" w:rsidRPr="008961BD">
        <w:rPr>
          <w:rFonts w:ascii="Times New Roman" w:hAnsi="Times New Roman" w:cs="Times New Roman"/>
          <w:b/>
          <w:bCs/>
        </w:rPr>
        <w:t>(Marks 5)</w:t>
      </w:r>
    </w:p>
    <w:sectPr w:rsidR="00B15783" w:rsidRPr="008961B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3939" w14:textId="77777777" w:rsidR="00516DCB" w:rsidRDefault="00516DCB" w:rsidP="003F6DFE">
      <w:pPr>
        <w:spacing w:after="0" w:line="240" w:lineRule="auto"/>
      </w:pPr>
      <w:r>
        <w:separator/>
      </w:r>
    </w:p>
  </w:endnote>
  <w:endnote w:type="continuationSeparator" w:id="0">
    <w:p w14:paraId="04A092AE" w14:textId="77777777" w:rsidR="00516DCB" w:rsidRDefault="00516DCB" w:rsidP="003F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902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EC2D1" w14:textId="77D64FC2" w:rsidR="003F6DFE" w:rsidRDefault="003F6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528DE" w14:textId="77777777" w:rsidR="003F6DFE" w:rsidRDefault="003F6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82E8" w14:textId="77777777" w:rsidR="00516DCB" w:rsidRDefault="00516DCB" w:rsidP="003F6DFE">
      <w:pPr>
        <w:spacing w:after="0" w:line="240" w:lineRule="auto"/>
      </w:pPr>
      <w:r>
        <w:separator/>
      </w:r>
    </w:p>
  </w:footnote>
  <w:footnote w:type="continuationSeparator" w:id="0">
    <w:p w14:paraId="48EE1239" w14:textId="77777777" w:rsidR="00516DCB" w:rsidRDefault="00516DCB" w:rsidP="003F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7AE"/>
    <w:multiLevelType w:val="multilevel"/>
    <w:tmpl w:val="F51A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683"/>
    <w:multiLevelType w:val="hybridMultilevel"/>
    <w:tmpl w:val="F238EB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6DB"/>
    <w:multiLevelType w:val="multilevel"/>
    <w:tmpl w:val="7C2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511C1"/>
    <w:multiLevelType w:val="multilevel"/>
    <w:tmpl w:val="BCD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A452B"/>
    <w:multiLevelType w:val="hybridMultilevel"/>
    <w:tmpl w:val="AD38E8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292B"/>
    <w:multiLevelType w:val="multilevel"/>
    <w:tmpl w:val="27B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72BFA"/>
    <w:multiLevelType w:val="multilevel"/>
    <w:tmpl w:val="937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04C2A"/>
    <w:multiLevelType w:val="hybridMultilevel"/>
    <w:tmpl w:val="51186EE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988"/>
    <w:multiLevelType w:val="multilevel"/>
    <w:tmpl w:val="891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505F6"/>
    <w:multiLevelType w:val="multilevel"/>
    <w:tmpl w:val="A4F0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65C64"/>
    <w:multiLevelType w:val="multilevel"/>
    <w:tmpl w:val="71D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A6547"/>
    <w:multiLevelType w:val="multilevel"/>
    <w:tmpl w:val="3DA2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F40C7"/>
    <w:multiLevelType w:val="multilevel"/>
    <w:tmpl w:val="89EE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A64ED"/>
    <w:multiLevelType w:val="multilevel"/>
    <w:tmpl w:val="692A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B1C70"/>
    <w:multiLevelType w:val="multilevel"/>
    <w:tmpl w:val="706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D34BA"/>
    <w:multiLevelType w:val="multilevel"/>
    <w:tmpl w:val="0F84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7C231A"/>
    <w:multiLevelType w:val="multilevel"/>
    <w:tmpl w:val="9A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702F2"/>
    <w:multiLevelType w:val="multilevel"/>
    <w:tmpl w:val="779C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D776D"/>
    <w:multiLevelType w:val="multilevel"/>
    <w:tmpl w:val="C9D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530A5"/>
    <w:multiLevelType w:val="multilevel"/>
    <w:tmpl w:val="E91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A5F46"/>
    <w:multiLevelType w:val="multilevel"/>
    <w:tmpl w:val="753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935D0B"/>
    <w:multiLevelType w:val="hybridMultilevel"/>
    <w:tmpl w:val="F992029A"/>
    <w:lvl w:ilvl="0" w:tplc="9CC4B3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146DF"/>
    <w:multiLevelType w:val="multilevel"/>
    <w:tmpl w:val="1B6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23FC8"/>
    <w:multiLevelType w:val="multilevel"/>
    <w:tmpl w:val="26EE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6769B"/>
    <w:multiLevelType w:val="multilevel"/>
    <w:tmpl w:val="EE04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45482"/>
    <w:multiLevelType w:val="multilevel"/>
    <w:tmpl w:val="6DA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C69AE"/>
    <w:multiLevelType w:val="multilevel"/>
    <w:tmpl w:val="FE7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40A29"/>
    <w:multiLevelType w:val="multilevel"/>
    <w:tmpl w:val="CB84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54284"/>
    <w:multiLevelType w:val="multilevel"/>
    <w:tmpl w:val="044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101221">
    <w:abstractNumId w:val="7"/>
  </w:num>
  <w:num w:numId="2" w16cid:durableId="180625646">
    <w:abstractNumId w:val="17"/>
  </w:num>
  <w:num w:numId="3" w16cid:durableId="1438938734">
    <w:abstractNumId w:val="0"/>
  </w:num>
  <w:num w:numId="4" w16cid:durableId="886988215">
    <w:abstractNumId w:val="24"/>
  </w:num>
  <w:num w:numId="5" w16cid:durableId="405494887">
    <w:abstractNumId w:val="6"/>
  </w:num>
  <w:num w:numId="6" w16cid:durableId="268900668">
    <w:abstractNumId w:val="4"/>
  </w:num>
  <w:num w:numId="7" w16cid:durableId="406073901">
    <w:abstractNumId w:val="28"/>
  </w:num>
  <w:num w:numId="8" w16cid:durableId="929050491">
    <w:abstractNumId w:val="13"/>
  </w:num>
  <w:num w:numId="9" w16cid:durableId="107891424">
    <w:abstractNumId w:val="27"/>
  </w:num>
  <w:num w:numId="10" w16cid:durableId="1039816612">
    <w:abstractNumId w:val="12"/>
  </w:num>
  <w:num w:numId="11" w16cid:durableId="360084767">
    <w:abstractNumId w:val="23"/>
  </w:num>
  <w:num w:numId="12" w16cid:durableId="236938684">
    <w:abstractNumId w:val="21"/>
  </w:num>
  <w:num w:numId="13" w16cid:durableId="313874604">
    <w:abstractNumId w:val="20"/>
  </w:num>
  <w:num w:numId="14" w16cid:durableId="733313493">
    <w:abstractNumId w:val="25"/>
  </w:num>
  <w:num w:numId="15" w16cid:durableId="1973946135">
    <w:abstractNumId w:val="9"/>
  </w:num>
  <w:num w:numId="16" w16cid:durableId="1774473676">
    <w:abstractNumId w:val="3"/>
  </w:num>
  <w:num w:numId="17" w16cid:durableId="259602044">
    <w:abstractNumId w:val="18"/>
  </w:num>
  <w:num w:numId="18" w16cid:durableId="1880163235">
    <w:abstractNumId w:val="29"/>
  </w:num>
  <w:num w:numId="19" w16cid:durableId="2047487514">
    <w:abstractNumId w:val="16"/>
  </w:num>
  <w:num w:numId="20" w16cid:durableId="222062369">
    <w:abstractNumId w:val="11"/>
  </w:num>
  <w:num w:numId="21" w16cid:durableId="1093891872">
    <w:abstractNumId w:val="10"/>
  </w:num>
  <w:num w:numId="22" w16cid:durableId="1233589768">
    <w:abstractNumId w:val="26"/>
  </w:num>
  <w:num w:numId="23" w16cid:durableId="60638831">
    <w:abstractNumId w:val="19"/>
  </w:num>
  <w:num w:numId="24" w16cid:durableId="1366324326">
    <w:abstractNumId w:val="15"/>
  </w:num>
  <w:num w:numId="25" w16cid:durableId="806969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4296046">
    <w:abstractNumId w:val="22"/>
  </w:num>
  <w:num w:numId="27" w16cid:durableId="2072118709">
    <w:abstractNumId w:val="5"/>
  </w:num>
  <w:num w:numId="28" w16cid:durableId="1445535552">
    <w:abstractNumId w:val="14"/>
  </w:num>
  <w:num w:numId="29" w16cid:durableId="1153528759">
    <w:abstractNumId w:val="2"/>
  </w:num>
  <w:num w:numId="30" w16cid:durableId="997807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76"/>
    <w:rsid w:val="00126C28"/>
    <w:rsid w:val="00145F75"/>
    <w:rsid w:val="00164EC1"/>
    <w:rsid w:val="00170C2E"/>
    <w:rsid w:val="001D692C"/>
    <w:rsid w:val="002574F9"/>
    <w:rsid w:val="00274040"/>
    <w:rsid w:val="00346515"/>
    <w:rsid w:val="003F400C"/>
    <w:rsid w:val="003F6DFE"/>
    <w:rsid w:val="00404038"/>
    <w:rsid w:val="004A43CA"/>
    <w:rsid w:val="00516DCB"/>
    <w:rsid w:val="005A49C8"/>
    <w:rsid w:val="005C24CF"/>
    <w:rsid w:val="005C438D"/>
    <w:rsid w:val="006822EE"/>
    <w:rsid w:val="007216BD"/>
    <w:rsid w:val="00747C9E"/>
    <w:rsid w:val="007B7859"/>
    <w:rsid w:val="0084057A"/>
    <w:rsid w:val="008410BB"/>
    <w:rsid w:val="00864AB0"/>
    <w:rsid w:val="008961BD"/>
    <w:rsid w:val="008A6DFC"/>
    <w:rsid w:val="008C7B57"/>
    <w:rsid w:val="008E091F"/>
    <w:rsid w:val="009B5476"/>
    <w:rsid w:val="009B67E9"/>
    <w:rsid w:val="00A06ACF"/>
    <w:rsid w:val="00A337D5"/>
    <w:rsid w:val="00A632B1"/>
    <w:rsid w:val="00B15783"/>
    <w:rsid w:val="00B71A19"/>
    <w:rsid w:val="00C01517"/>
    <w:rsid w:val="00C448AB"/>
    <w:rsid w:val="00C54517"/>
    <w:rsid w:val="00C83904"/>
    <w:rsid w:val="00C93C55"/>
    <w:rsid w:val="00CD4D1C"/>
    <w:rsid w:val="00D4601E"/>
    <w:rsid w:val="00D970EA"/>
    <w:rsid w:val="00E4505C"/>
    <w:rsid w:val="00EE2F52"/>
    <w:rsid w:val="00F035FE"/>
    <w:rsid w:val="00F23657"/>
    <w:rsid w:val="00F37A86"/>
    <w:rsid w:val="00F5708F"/>
    <w:rsid w:val="00F930B3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A7E6F"/>
  <w15:chartTrackingRefBased/>
  <w15:docId w15:val="{F04FF10B-99DC-44CC-8BF4-D9D27AA4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4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1517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01517"/>
    <w:rPr>
      <w:b/>
      <w:bCs/>
    </w:rPr>
  </w:style>
  <w:style w:type="character" w:customStyle="1" w:styleId="katex-mathml">
    <w:name w:val="katex-mathml"/>
    <w:basedOn w:val="DefaultParagraphFont"/>
    <w:rsid w:val="00C01517"/>
  </w:style>
  <w:style w:type="character" w:customStyle="1" w:styleId="mord">
    <w:name w:val="mord"/>
    <w:basedOn w:val="DefaultParagraphFont"/>
    <w:rsid w:val="00C01517"/>
  </w:style>
  <w:style w:type="character" w:customStyle="1" w:styleId="mopen">
    <w:name w:val="mopen"/>
    <w:basedOn w:val="DefaultParagraphFont"/>
    <w:rsid w:val="00C01517"/>
  </w:style>
  <w:style w:type="character" w:customStyle="1" w:styleId="mclose">
    <w:name w:val="mclose"/>
    <w:basedOn w:val="DefaultParagraphFont"/>
    <w:rsid w:val="00C01517"/>
  </w:style>
  <w:style w:type="character" w:customStyle="1" w:styleId="mrel">
    <w:name w:val="mrel"/>
    <w:basedOn w:val="DefaultParagraphFont"/>
    <w:rsid w:val="00C01517"/>
  </w:style>
  <w:style w:type="character" w:customStyle="1" w:styleId="vlist-s">
    <w:name w:val="vlist-s"/>
    <w:basedOn w:val="DefaultParagraphFont"/>
    <w:rsid w:val="00C01517"/>
  </w:style>
  <w:style w:type="character" w:customStyle="1" w:styleId="mbin">
    <w:name w:val="mbin"/>
    <w:basedOn w:val="DefaultParagraphFont"/>
    <w:rsid w:val="00C01517"/>
  </w:style>
  <w:style w:type="table" w:styleId="TableGrid">
    <w:name w:val="Table Grid"/>
    <w:basedOn w:val="TableNormal"/>
    <w:uiPriority w:val="39"/>
    <w:rsid w:val="00126C2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FE"/>
  </w:style>
  <w:style w:type="paragraph" w:styleId="Footer">
    <w:name w:val="footer"/>
    <w:basedOn w:val="Normal"/>
    <w:link w:val="FooterChar"/>
    <w:uiPriority w:val="99"/>
    <w:unhideWhenUsed/>
    <w:rsid w:val="003F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Nupur Gupta</dc:creator>
  <cp:keywords/>
  <dc:description/>
  <cp:lastModifiedBy>Praveen Soni</cp:lastModifiedBy>
  <cp:revision>24</cp:revision>
  <cp:lastPrinted>2025-10-06T05:17:00Z</cp:lastPrinted>
  <dcterms:created xsi:type="dcterms:W3CDTF">2025-09-23T06:49:00Z</dcterms:created>
  <dcterms:modified xsi:type="dcterms:W3CDTF">2025-10-06T08:29:00Z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a889b092-348b-4b4d-95f1-612571904a30</vt:lpwstr>
  </property>
</Properties>
</file>